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12E3" w:rsidRPr="00EC12E3" w:rsidRDefault="00A857C3" w:rsidP="001D1114">
      <w:pPr>
        <w:widowControl w:val="0"/>
        <w:tabs>
          <w:tab w:val="left" w:pos="720"/>
        </w:tabs>
        <w:autoSpaceDE w:val="0"/>
        <w:autoSpaceDN w:val="0"/>
        <w:spacing w:after="0" w:line="240" w:lineRule="auto"/>
        <w:contextualSpacing/>
        <w:rPr>
          <w:rFonts w:eastAsia="Times New Roman" w:cs="Times New Roman"/>
          <w:sz w:val="20"/>
          <w:szCs w:val="24"/>
        </w:rPr>
      </w:pPr>
      <w:bookmarkStart w:id="0" w:name="_GoBack"/>
      <w:bookmarkEnd w:id="0"/>
      <w:r>
        <w:rPr>
          <w:rFonts w:eastAsia="Times New Roman" w:cs="Times New Roman"/>
          <w:sz w:val="20"/>
          <w:szCs w:val="24"/>
        </w:rPr>
        <w:t xml:space="preserve">         </w:t>
      </w:r>
      <w:r w:rsidR="00E03C0D">
        <w:rPr>
          <w:rFonts w:eastAsia="Times New Roman" w:cs="Times New Roman"/>
          <w:sz w:val="20"/>
          <w:szCs w:val="24"/>
        </w:rPr>
        <w:t xml:space="preserve">          </w:t>
      </w: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0"/>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0"/>
          <w:szCs w:val="24"/>
        </w:rPr>
      </w:pPr>
    </w:p>
    <w:p w:rsidR="00EC12E3" w:rsidRDefault="00EC12E3"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3D115D" w:rsidRPr="00EC12E3" w:rsidRDefault="003D115D" w:rsidP="001D1114">
      <w:pPr>
        <w:widowControl w:val="0"/>
        <w:tabs>
          <w:tab w:val="left" w:pos="720"/>
        </w:tabs>
        <w:autoSpaceDE w:val="0"/>
        <w:autoSpaceDN w:val="0"/>
        <w:spacing w:after="0" w:line="240" w:lineRule="auto"/>
        <w:contextualSpacing/>
        <w:rPr>
          <w:rFonts w:eastAsia="Times New Roman" w:cs="Times New Roman"/>
          <w:sz w:val="20"/>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Cs w:val="24"/>
        </w:rPr>
      </w:pPr>
    </w:p>
    <w:p w:rsidR="00EC12E3" w:rsidRPr="00EC12E3" w:rsidRDefault="00EC12E3" w:rsidP="001D1114">
      <w:pPr>
        <w:tabs>
          <w:tab w:val="left" w:pos="720"/>
        </w:tabs>
        <w:spacing w:after="200" w:line="480" w:lineRule="auto"/>
        <w:contextualSpacing/>
        <w:jc w:val="center"/>
        <w:rPr>
          <w:rFonts w:eastAsia="Calibri" w:cs="Times New Roman"/>
          <w:b/>
          <w:sz w:val="28"/>
          <w:szCs w:val="28"/>
        </w:rPr>
      </w:pPr>
      <w:r w:rsidRPr="00EC12E3">
        <w:rPr>
          <w:rFonts w:eastAsia="Calibri" w:cs="Times New Roman"/>
          <w:b/>
          <w:i/>
          <w:sz w:val="28"/>
          <w:szCs w:val="28"/>
        </w:rPr>
        <w:t>Church v. State</w:t>
      </w:r>
      <w:r w:rsidRPr="00EC12E3">
        <w:rPr>
          <w:rFonts w:eastAsia="Calibri" w:cs="Times New Roman"/>
          <w:b/>
          <w:sz w:val="28"/>
          <w:szCs w:val="28"/>
        </w:rPr>
        <w:t>:</w:t>
      </w:r>
    </w:p>
    <w:p w:rsidR="00EC12E3" w:rsidRPr="00EC12E3" w:rsidRDefault="00EC12E3" w:rsidP="001D1114">
      <w:pPr>
        <w:tabs>
          <w:tab w:val="left" w:pos="720"/>
        </w:tabs>
        <w:spacing w:after="200" w:line="480" w:lineRule="auto"/>
        <w:contextualSpacing/>
        <w:jc w:val="center"/>
        <w:rPr>
          <w:rFonts w:eastAsia="Calibri" w:cs="Times New Roman"/>
          <w:b/>
        </w:rPr>
      </w:pPr>
      <w:r w:rsidRPr="00EC12E3">
        <w:rPr>
          <w:rFonts w:eastAsia="Calibri" w:cs="Times New Roman"/>
          <w:b/>
        </w:rPr>
        <w:t xml:space="preserve">from Confessionalism to Judicial Interpretation in </w:t>
      </w:r>
      <w:r w:rsidRPr="00EC12E3">
        <w:rPr>
          <w:rFonts w:eastAsia="Calibri" w:cs="Times New Roman"/>
          <w:b/>
          <w:i/>
        </w:rPr>
        <w:t>Everson v. Board of Education.</w:t>
      </w: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3D115D" w:rsidRDefault="003D115D" w:rsidP="001D1114">
      <w:pPr>
        <w:widowControl w:val="0"/>
        <w:tabs>
          <w:tab w:val="left" w:pos="720"/>
        </w:tabs>
        <w:autoSpaceDE w:val="0"/>
        <w:autoSpaceDN w:val="0"/>
        <w:spacing w:after="0" w:line="240" w:lineRule="auto"/>
        <w:contextualSpacing/>
        <w:rPr>
          <w:rFonts w:eastAsia="Times New Roman" w:cs="Times New Roman"/>
          <w:sz w:val="26"/>
          <w:szCs w:val="24"/>
        </w:rPr>
      </w:pPr>
    </w:p>
    <w:p w:rsidR="003D115D" w:rsidRPr="00EC12E3" w:rsidRDefault="003D115D"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before="2" w:after="0" w:line="240" w:lineRule="auto"/>
        <w:contextualSpacing/>
        <w:rPr>
          <w:rFonts w:eastAsia="Times New Roman" w:cs="Times New Roman"/>
          <w:sz w:val="36"/>
          <w:szCs w:val="24"/>
        </w:rPr>
      </w:pPr>
    </w:p>
    <w:p w:rsidR="00EC12E3" w:rsidRDefault="00E46CE6" w:rsidP="001D1114">
      <w:pPr>
        <w:widowControl w:val="0"/>
        <w:tabs>
          <w:tab w:val="left" w:pos="720"/>
        </w:tabs>
        <w:autoSpaceDE w:val="0"/>
        <w:autoSpaceDN w:val="0"/>
        <w:spacing w:before="197" w:after="0" w:line="297" w:lineRule="exact"/>
        <w:ind w:left="3281" w:right="3306"/>
        <w:contextualSpacing/>
        <w:jc w:val="center"/>
        <w:rPr>
          <w:rFonts w:eastAsia="Times New Roman" w:cs="Times New Roman"/>
          <w:color w:val="0F0F0F"/>
          <w:w w:val="90"/>
          <w:szCs w:val="24"/>
        </w:rPr>
      </w:pPr>
      <w:r w:rsidRPr="00EC12E3">
        <w:rPr>
          <w:rFonts w:eastAsia="Times New Roman" w:cs="Times New Roman"/>
          <w:color w:val="0F0F0F"/>
          <w:w w:val="90"/>
          <w:szCs w:val="24"/>
        </w:rPr>
        <w:t>B</w:t>
      </w:r>
      <w:r w:rsidR="00EC12E3" w:rsidRPr="00EC12E3">
        <w:rPr>
          <w:rFonts w:eastAsia="Times New Roman" w:cs="Times New Roman"/>
          <w:color w:val="0F0F0F"/>
          <w:w w:val="90"/>
          <w:szCs w:val="24"/>
        </w:rPr>
        <w:t>y</w:t>
      </w:r>
    </w:p>
    <w:p w:rsidR="00E46CE6" w:rsidRPr="00EC12E3" w:rsidRDefault="00E46CE6" w:rsidP="001D1114">
      <w:pPr>
        <w:widowControl w:val="0"/>
        <w:tabs>
          <w:tab w:val="left" w:pos="720"/>
        </w:tabs>
        <w:autoSpaceDE w:val="0"/>
        <w:autoSpaceDN w:val="0"/>
        <w:spacing w:before="197" w:after="0" w:line="297" w:lineRule="exact"/>
        <w:ind w:left="3281" w:right="3306"/>
        <w:contextualSpacing/>
        <w:jc w:val="center"/>
        <w:rPr>
          <w:rFonts w:eastAsia="Times New Roman" w:cs="Times New Roman"/>
          <w:szCs w:val="24"/>
        </w:rPr>
      </w:pPr>
    </w:p>
    <w:p w:rsidR="00EC12E3" w:rsidRPr="00EC12E3" w:rsidRDefault="00EC12E3" w:rsidP="001D1114">
      <w:pPr>
        <w:widowControl w:val="0"/>
        <w:tabs>
          <w:tab w:val="left" w:pos="720"/>
        </w:tabs>
        <w:autoSpaceDE w:val="0"/>
        <w:autoSpaceDN w:val="0"/>
        <w:spacing w:after="0" w:line="267" w:lineRule="exact"/>
        <w:ind w:left="3276" w:right="3313"/>
        <w:contextualSpacing/>
        <w:jc w:val="center"/>
        <w:rPr>
          <w:rFonts w:eastAsia="Times New Roman" w:cs="Times New Roman"/>
          <w:szCs w:val="24"/>
        </w:rPr>
      </w:pPr>
      <w:r w:rsidRPr="00EC12E3">
        <w:rPr>
          <w:rFonts w:eastAsia="Times New Roman" w:cs="Times New Roman"/>
          <w:color w:val="0F0F0F"/>
          <w:w w:val="105"/>
          <w:szCs w:val="24"/>
        </w:rPr>
        <w:t>James M. Morton</w:t>
      </w: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26"/>
          <w:szCs w:val="24"/>
        </w:rPr>
      </w:pPr>
    </w:p>
    <w:p w:rsidR="00EC12E3" w:rsidRPr="00EC12E3" w:rsidRDefault="00EC12E3" w:rsidP="001D1114">
      <w:pPr>
        <w:widowControl w:val="0"/>
        <w:tabs>
          <w:tab w:val="left" w:pos="720"/>
        </w:tabs>
        <w:autoSpaceDE w:val="0"/>
        <w:autoSpaceDN w:val="0"/>
        <w:spacing w:after="0" w:line="240" w:lineRule="auto"/>
        <w:contextualSpacing/>
        <w:rPr>
          <w:rFonts w:eastAsia="Times New Roman" w:cs="Times New Roman"/>
          <w:sz w:val="36"/>
          <w:szCs w:val="24"/>
        </w:rPr>
      </w:pPr>
    </w:p>
    <w:p w:rsidR="00EC12E3" w:rsidRPr="00EC12E3" w:rsidRDefault="00EC12E3" w:rsidP="001D1114">
      <w:pPr>
        <w:widowControl w:val="0"/>
        <w:tabs>
          <w:tab w:val="left" w:pos="720"/>
        </w:tabs>
        <w:autoSpaceDE w:val="0"/>
        <w:autoSpaceDN w:val="0"/>
        <w:spacing w:after="0" w:line="249" w:lineRule="auto"/>
        <w:ind w:left="158" w:right="156"/>
        <w:contextualSpacing/>
        <w:jc w:val="center"/>
        <w:rPr>
          <w:rFonts w:eastAsia="Times New Roman" w:cs="Times New Roman"/>
          <w:szCs w:val="24"/>
        </w:rPr>
      </w:pPr>
      <w:r w:rsidRPr="00EC12E3">
        <w:rPr>
          <w:rFonts w:eastAsia="Times New Roman" w:cs="Times New Roman"/>
          <w:color w:val="0F0F0F"/>
          <w:w w:val="105"/>
          <w:szCs w:val="24"/>
        </w:rPr>
        <w:t>A thesis presented to the Honors College of Middle Tennessee State University in partial fulfillment of the requirements for graduation from the University Honors College</w:t>
      </w:r>
    </w:p>
    <w:p w:rsidR="00EC12E3" w:rsidRPr="00EC12E3" w:rsidRDefault="00EC12E3" w:rsidP="001D1114">
      <w:pPr>
        <w:widowControl w:val="0"/>
        <w:tabs>
          <w:tab w:val="left" w:pos="720"/>
        </w:tabs>
        <w:autoSpaceDE w:val="0"/>
        <w:autoSpaceDN w:val="0"/>
        <w:spacing w:before="6" w:after="0" w:line="240" w:lineRule="auto"/>
        <w:contextualSpacing/>
        <w:rPr>
          <w:rFonts w:eastAsia="Times New Roman" w:cs="Times New Roman"/>
          <w:szCs w:val="24"/>
        </w:rPr>
      </w:pPr>
    </w:p>
    <w:p w:rsidR="00EC12E3" w:rsidRPr="00EC12E3" w:rsidRDefault="00EC12E3" w:rsidP="001D1114">
      <w:pPr>
        <w:widowControl w:val="0"/>
        <w:tabs>
          <w:tab w:val="left" w:pos="720"/>
        </w:tabs>
        <w:autoSpaceDE w:val="0"/>
        <w:autoSpaceDN w:val="0"/>
        <w:spacing w:after="0" w:line="240" w:lineRule="auto"/>
        <w:ind w:left="154" w:right="156"/>
        <w:contextualSpacing/>
        <w:jc w:val="center"/>
        <w:rPr>
          <w:rFonts w:eastAsia="Times New Roman" w:cs="Times New Roman"/>
          <w:szCs w:val="24"/>
        </w:rPr>
      </w:pPr>
      <w:r w:rsidRPr="00EC12E3">
        <w:rPr>
          <w:rFonts w:eastAsia="Times New Roman" w:cs="Times New Roman"/>
          <w:color w:val="0F0F0F"/>
          <w:w w:val="110"/>
          <w:szCs w:val="24"/>
        </w:rPr>
        <w:t>Fall 20</w:t>
      </w:r>
      <w:r w:rsidRPr="00EC12E3">
        <w:rPr>
          <w:rFonts w:eastAsia="Times New Roman" w:cs="Times New Roman"/>
          <w:color w:val="363636"/>
          <w:w w:val="110"/>
          <w:szCs w:val="24"/>
        </w:rPr>
        <w:t>1</w:t>
      </w:r>
      <w:r w:rsidRPr="00EC12E3">
        <w:rPr>
          <w:rFonts w:eastAsia="Times New Roman" w:cs="Times New Roman"/>
          <w:color w:val="0F0F0F"/>
          <w:w w:val="110"/>
          <w:szCs w:val="24"/>
        </w:rPr>
        <w:t>8</w:t>
      </w:r>
    </w:p>
    <w:p w:rsidR="009A01CA" w:rsidRDefault="009A01CA" w:rsidP="001D1114">
      <w:pPr>
        <w:tabs>
          <w:tab w:val="left" w:pos="720"/>
        </w:tabs>
        <w:contextualSpacing/>
        <w:sectPr w:rsidR="009A01CA" w:rsidSect="00AC21EF">
          <w:footerReference w:type="first" r:id="rId8"/>
          <w:footnotePr>
            <w:numRestart w:val="eachSect"/>
          </w:footnotePr>
          <w:pgSz w:w="12240" w:h="15840"/>
          <w:pgMar w:top="1440" w:right="1440" w:bottom="1440" w:left="2160" w:header="720" w:footer="720" w:gutter="0"/>
          <w:cols w:space="720"/>
          <w:docGrid w:linePitch="360"/>
        </w:sect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before="4" w:after="0" w:line="240" w:lineRule="auto"/>
        <w:contextualSpacing/>
        <w:rPr>
          <w:rFonts w:eastAsia="Times New Roman" w:cs="Times New Roman"/>
          <w:sz w:val="23"/>
          <w:szCs w:val="24"/>
        </w:rPr>
      </w:pPr>
    </w:p>
    <w:p w:rsidR="00A2511E" w:rsidRPr="00A2511E" w:rsidRDefault="00A2511E" w:rsidP="001D1114">
      <w:pPr>
        <w:tabs>
          <w:tab w:val="left" w:pos="720"/>
        </w:tabs>
        <w:spacing w:after="200" w:line="480" w:lineRule="auto"/>
        <w:contextualSpacing/>
        <w:jc w:val="center"/>
        <w:rPr>
          <w:rFonts w:eastAsia="Calibri" w:cs="Times New Roman"/>
          <w:b/>
          <w:sz w:val="28"/>
          <w:szCs w:val="28"/>
        </w:rPr>
      </w:pPr>
      <w:r w:rsidRPr="00A2511E">
        <w:rPr>
          <w:rFonts w:eastAsia="Calibri" w:cs="Times New Roman"/>
          <w:b/>
          <w:i/>
          <w:sz w:val="28"/>
          <w:szCs w:val="28"/>
        </w:rPr>
        <w:t>Church v. State</w:t>
      </w:r>
      <w:r w:rsidRPr="00A2511E">
        <w:rPr>
          <w:rFonts w:eastAsia="Calibri" w:cs="Times New Roman"/>
          <w:b/>
          <w:sz w:val="28"/>
          <w:szCs w:val="28"/>
        </w:rPr>
        <w:t>:</w:t>
      </w:r>
    </w:p>
    <w:p w:rsidR="00A2511E" w:rsidRPr="00A2511E" w:rsidRDefault="00A2511E" w:rsidP="001D1114">
      <w:pPr>
        <w:tabs>
          <w:tab w:val="left" w:pos="720"/>
        </w:tabs>
        <w:spacing w:after="200" w:line="480" w:lineRule="auto"/>
        <w:contextualSpacing/>
        <w:jc w:val="center"/>
        <w:rPr>
          <w:rFonts w:eastAsia="Calibri" w:cs="Times New Roman"/>
          <w:b/>
        </w:rPr>
      </w:pPr>
      <w:r w:rsidRPr="00A2511E">
        <w:rPr>
          <w:rFonts w:eastAsia="Calibri" w:cs="Times New Roman"/>
          <w:b/>
        </w:rPr>
        <w:t xml:space="preserve">from Confessionalism to Judicial Interpretation in </w:t>
      </w:r>
      <w:r w:rsidRPr="00A2511E">
        <w:rPr>
          <w:rFonts w:eastAsia="Calibri" w:cs="Times New Roman"/>
          <w:b/>
          <w:i/>
        </w:rPr>
        <w:t>Everson v. Board of Education.</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Default="00E46CE6" w:rsidP="001D1114">
      <w:pPr>
        <w:widowControl w:val="0"/>
        <w:tabs>
          <w:tab w:val="left" w:pos="720"/>
        </w:tabs>
        <w:autoSpaceDE w:val="0"/>
        <w:autoSpaceDN w:val="0"/>
        <w:spacing w:before="197" w:after="0" w:line="297" w:lineRule="exact"/>
        <w:ind w:left="3281" w:right="3306"/>
        <w:contextualSpacing/>
        <w:jc w:val="center"/>
        <w:rPr>
          <w:rFonts w:eastAsia="Times New Roman" w:cs="Times New Roman"/>
          <w:color w:val="0F0F0F"/>
          <w:w w:val="90"/>
          <w:szCs w:val="24"/>
        </w:rPr>
      </w:pPr>
      <w:r w:rsidRPr="00A2511E">
        <w:rPr>
          <w:rFonts w:eastAsia="Times New Roman" w:cs="Times New Roman"/>
          <w:color w:val="0F0F0F"/>
          <w:w w:val="90"/>
          <w:szCs w:val="24"/>
        </w:rPr>
        <w:t>B</w:t>
      </w:r>
      <w:r w:rsidR="00A2511E" w:rsidRPr="00A2511E">
        <w:rPr>
          <w:rFonts w:eastAsia="Times New Roman" w:cs="Times New Roman"/>
          <w:color w:val="0F0F0F"/>
          <w:w w:val="90"/>
          <w:szCs w:val="24"/>
        </w:rPr>
        <w:t>y</w:t>
      </w:r>
    </w:p>
    <w:p w:rsidR="00E46CE6" w:rsidRPr="00A2511E" w:rsidRDefault="00E46CE6" w:rsidP="001D1114">
      <w:pPr>
        <w:widowControl w:val="0"/>
        <w:tabs>
          <w:tab w:val="left" w:pos="720"/>
        </w:tabs>
        <w:autoSpaceDE w:val="0"/>
        <w:autoSpaceDN w:val="0"/>
        <w:spacing w:before="197" w:after="0" w:line="297" w:lineRule="exact"/>
        <w:ind w:left="3281" w:right="3306"/>
        <w:contextualSpacing/>
        <w:jc w:val="center"/>
        <w:rPr>
          <w:rFonts w:eastAsia="Times New Roman" w:cs="Times New Roman"/>
          <w:szCs w:val="24"/>
        </w:rPr>
      </w:pPr>
    </w:p>
    <w:p w:rsidR="00A2511E" w:rsidRPr="00A2511E" w:rsidRDefault="00A2511E" w:rsidP="001D1114">
      <w:pPr>
        <w:widowControl w:val="0"/>
        <w:tabs>
          <w:tab w:val="left" w:pos="720"/>
        </w:tabs>
        <w:autoSpaceDE w:val="0"/>
        <w:autoSpaceDN w:val="0"/>
        <w:spacing w:after="0" w:line="267" w:lineRule="exact"/>
        <w:ind w:left="3276" w:right="3313"/>
        <w:contextualSpacing/>
        <w:jc w:val="center"/>
        <w:rPr>
          <w:rFonts w:eastAsia="Times New Roman" w:cs="Times New Roman"/>
          <w:szCs w:val="24"/>
        </w:rPr>
      </w:pPr>
      <w:r w:rsidRPr="00A2511E">
        <w:rPr>
          <w:rFonts w:eastAsia="Times New Roman" w:cs="Times New Roman"/>
          <w:color w:val="0F0F0F"/>
          <w:w w:val="105"/>
          <w:szCs w:val="24"/>
        </w:rPr>
        <w:t>James M. Morton</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6"/>
          <w:szCs w:val="24"/>
        </w:rPr>
      </w:pPr>
    </w:p>
    <w:p w:rsidR="00A2511E" w:rsidRPr="00A2511E" w:rsidRDefault="00A2511E" w:rsidP="001D1114">
      <w:pPr>
        <w:widowControl w:val="0"/>
        <w:tabs>
          <w:tab w:val="left" w:pos="720"/>
        </w:tabs>
        <w:autoSpaceDE w:val="0"/>
        <w:autoSpaceDN w:val="0"/>
        <w:spacing w:before="2" w:after="0" w:line="240" w:lineRule="auto"/>
        <w:contextualSpacing/>
        <w:rPr>
          <w:rFonts w:eastAsia="Times New Roman" w:cs="Times New Roman"/>
          <w:sz w:val="38"/>
          <w:szCs w:val="24"/>
        </w:rPr>
      </w:pPr>
    </w:p>
    <w:p w:rsidR="00A2511E" w:rsidRPr="00A2511E" w:rsidRDefault="00A2511E" w:rsidP="001D1114">
      <w:pPr>
        <w:widowControl w:val="0"/>
        <w:tabs>
          <w:tab w:val="left" w:pos="720"/>
        </w:tabs>
        <w:autoSpaceDE w:val="0"/>
        <w:autoSpaceDN w:val="0"/>
        <w:spacing w:after="0" w:line="240" w:lineRule="auto"/>
        <w:ind w:left="5514"/>
        <w:contextualSpacing/>
        <w:rPr>
          <w:rFonts w:eastAsia="Times New Roman" w:cs="Times New Roman"/>
          <w:szCs w:val="24"/>
        </w:rPr>
      </w:pPr>
      <w:r w:rsidRPr="00A2511E">
        <w:rPr>
          <w:rFonts w:eastAsia="Times New Roman" w:cs="Times New Roman"/>
          <w:color w:val="0F0F0F"/>
          <w:szCs w:val="24"/>
        </w:rPr>
        <w:t>APPROVED:</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before="8" w:after="0" w:line="240" w:lineRule="auto"/>
        <w:contextualSpacing/>
        <w:rPr>
          <w:rFonts w:eastAsia="Times New Roman" w:cs="Times New Roman"/>
          <w:sz w:val="28"/>
          <w:szCs w:val="24"/>
        </w:rPr>
      </w:pPr>
      <w:r w:rsidRPr="00A2511E">
        <w:rPr>
          <w:rFonts w:eastAsia="Times New Roman" w:cs="Times New Roman"/>
          <w:noProof/>
          <w:szCs w:val="24"/>
        </w:rPr>
        <mc:AlternateContent>
          <mc:Choice Requires="wps">
            <w:drawing>
              <wp:anchor distT="0" distB="0" distL="0" distR="0" simplePos="0" relativeHeight="251659264" behindDoc="0" locked="0" layoutInCell="1" allowOverlap="1" wp14:anchorId="1DC58331" wp14:editId="3D46B323">
                <wp:simplePos x="0" y="0"/>
                <wp:positionH relativeFrom="page">
                  <wp:posOffset>4128770</wp:posOffset>
                </wp:positionH>
                <wp:positionV relativeFrom="paragraph">
                  <wp:posOffset>239395</wp:posOffset>
                </wp:positionV>
                <wp:extent cx="2418080" cy="0"/>
                <wp:effectExtent l="13970" t="6350" r="6350" b="12700"/>
                <wp:wrapTopAndBottom/>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808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12B172E" id="Line 5"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5.1pt,18.85pt" to="515.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" strokeweight=".72pt">
                <w10:wrap type="topAndBottom" anchorx="page"/>
              </v:line>
            </w:pict>
          </mc:Fallback>
        </mc:AlternateContent>
      </w:r>
    </w:p>
    <w:p w:rsidR="00A2511E" w:rsidRPr="00A2511E" w:rsidRDefault="00A2511E" w:rsidP="001D1114">
      <w:pPr>
        <w:widowControl w:val="0"/>
        <w:tabs>
          <w:tab w:val="left" w:pos="720"/>
        </w:tabs>
        <w:autoSpaceDE w:val="0"/>
        <w:autoSpaceDN w:val="0"/>
        <w:spacing w:after="0" w:line="249" w:lineRule="auto"/>
        <w:ind w:left="4791" w:right="1322" w:firstLine="8"/>
        <w:contextualSpacing/>
        <w:rPr>
          <w:rFonts w:eastAsia="Times New Roman" w:cs="Times New Roman"/>
          <w:color w:val="0F0F0F"/>
          <w:w w:val="105"/>
          <w:szCs w:val="24"/>
        </w:rPr>
      </w:pPr>
      <w:r w:rsidRPr="00A2511E">
        <w:rPr>
          <w:rFonts w:eastAsia="Times New Roman" w:cs="Times New Roman"/>
          <w:szCs w:val="24"/>
        </w:rPr>
        <w:t>Dr. Jennifer Woodward</w:t>
      </w:r>
      <w:r w:rsidRPr="00A2511E">
        <w:rPr>
          <w:rFonts w:eastAsia="Times New Roman" w:cs="Times New Roman"/>
          <w:color w:val="0F0F0F"/>
          <w:w w:val="105"/>
          <w:szCs w:val="24"/>
        </w:rPr>
        <w:t xml:space="preserve">    </w:t>
      </w:r>
    </w:p>
    <w:p w:rsidR="00A2511E" w:rsidRPr="00A2511E" w:rsidRDefault="00A2511E" w:rsidP="001D1114">
      <w:pPr>
        <w:widowControl w:val="0"/>
        <w:tabs>
          <w:tab w:val="left" w:pos="720"/>
        </w:tabs>
        <w:autoSpaceDE w:val="0"/>
        <w:autoSpaceDN w:val="0"/>
        <w:spacing w:after="0" w:line="249" w:lineRule="auto"/>
        <w:ind w:left="4791" w:right="1322" w:firstLine="8"/>
        <w:contextualSpacing/>
        <w:rPr>
          <w:rFonts w:eastAsia="Times New Roman" w:cs="Times New Roman"/>
          <w:color w:val="0F0F0F"/>
          <w:w w:val="105"/>
          <w:szCs w:val="24"/>
        </w:rPr>
      </w:pPr>
      <w:r w:rsidRPr="00A2511E">
        <w:rPr>
          <w:rFonts w:eastAsia="Times New Roman" w:cs="Times New Roman"/>
          <w:color w:val="0F0F0F"/>
          <w:w w:val="105"/>
          <w:szCs w:val="24"/>
        </w:rPr>
        <w:t>Political Science Department</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before="9" w:after="0" w:line="240" w:lineRule="auto"/>
        <w:contextualSpacing/>
        <w:rPr>
          <w:rFonts w:eastAsia="Times New Roman" w:cs="Times New Roman"/>
          <w:sz w:val="21"/>
          <w:szCs w:val="24"/>
        </w:rPr>
      </w:pPr>
      <w:r w:rsidRPr="00A2511E">
        <w:rPr>
          <w:rFonts w:eastAsia="Times New Roman" w:cs="Times New Roman"/>
          <w:noProof/>
          <w:szCs w:val="24"/>
        </w:rPr>
        <mc:AlternateContent>
          <mc:Choice Requires="wps">
            <w:drawing>
              <wp:anchor distT="0" distB="0" distL="0" distR="0" simplePos="0" relativeHeight="251660288" behindDoc="0" locked="0" layoutInCell="1" allowOverlap="1" wp14:anchorId="5C53125D" wp14:editId="79F47304">
                <wp:simplePos x="0" y="0"/>
                <wp:positionH relativeFrom="page">
                  <wp:posOffset>4128770</wp:posOffset>
                </wp:positionH>
                <wp:positionV relativeFrom="paragraph">
                  <wp:posOffset>189230</wp:posOffset>
                </wp:positionV>
                <wp:extent cx="2413635" cy="0"/>
                <wp:effectExtent l="13970" t="9525" r="10795" b="9525"/>
                <wp:wrapTopAndBottom/>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63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3C4D6CD" id="Line 4"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5.1pt,14.9pt" to="515.1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Hdp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" strokeweight=".72pt">
                <w10:wrap type="topAndBottom" anchorx="page"/>
              </v:line>
            </w:pict>
          </mc:Fallback>
        </mc:AlternateContent>
      </w:r>
    </w:p>
    <w:p w:rsidR="00C909E7" w:rsidRDefault="00C909E7" w:rsidP="001D1114">
      <w:pPr>
        <w:widowControl w:val="0"/>
        <w:tabs>
          <w:tab w:val="left" w:pos="720"/>
        </w:tabs>
        <w:autoSpaceDE w:val="0"/>
        <w:autoSpaceDN w:val="0"/>
        <w:spacing w:after="0" w:line="244" w:lineRule="auto"/>
        <w:ind w:left="4784" w:right="113" w:firstLine="8"/>
        <w:contextualSpacing/>
        <w:rPr>
          <w:rFonts w:eastAsia="Times New Roman" w:cs="Times New Roman"/>
          <w:color w:val="0F0F0F"/>
          <w:w w:val="105"/>
          <w:szCs w:val="24"/>
        </w:rPr>
      </w:pPr>
      <w:r w:rsidRPr="00C909E7">
        <w:rPr>
          <w:rFonts w:eastAsia="Times New Roman" w:cs="Times New Roman"/>
          <w:color w:val="0F0F0F"/>
          <w:w w:val="105"/>
          <w:szCs w:val="24"/>
        </w:rPr>
        <w:t>Dr. Michael P. Federici</w:t>
      </w:r>
    </w:p>
    <w:p w:rsidR="00A2511E" w:rsidRPr="00A2511E" w:rsidRDefault="00A2511E" w:rsidP="001D1114">
      <w:pPr>
        <w:widowControl w:val="0"/>
        <w:tabs>
          <w:tab w:val="left" w:pos="720"/>
        </w:tabs>
        <w:autoSpaceDE w:val="0"/>
        <w:autoSpaceDN w:val="0"/>
        <w:spacing w:after="0" w:line="244" w:lineRule="auto"/>
        <w:ind w:left="4784" w:right="113" w:firstLine="8"/>
        <w:contextualSpacing/>
        <w:rPr>
          <w:rFonts w:eastAsia="Times New Roman" w:cs="Times New Roman"/>
          <w:szCs w:val="24"/>
        </w:rPr>
      </w:pPr>
      <w:r w:rsidRPr="00A2511E">
        <w:rPr>
          <w:rFonts w:eastAsia="Times New Roman" w:cs="Times New Roman"/>
          <w:color w:val="0F0F0F"/>
          <w:w w:val="105"/>
          <w:szCs w:val="24"/>
        </w:rPr>
        <w:t>Political Science Department</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before="10" w:after="0" w:line="240" w:lineRule="auto"/>
        <w:contextualSpacing/>
        <w:rPr>
          <w:rFonts w:eastAsia="Times New Roman" w:cs="Times New Roman"/>
          <w:sz w:val="22"/>
          <w:szCs w:val="24"/>
        </w:rPr>
      </w:pPr>
      <w:r w:rsidRPr="00A2511E">
        <w:rPr>
          <w:rFonts w:eastAsia="Times New Roman" w:cs="Times New Roman"/>
          <w:noProof/>
          <w:szCs w:val="24"/>
        </w:rPr>
        <mc:AlternateContent>
          <mc:Choice Requires="wps">
            <w:drawing>
              <wp:anchor distT="0" distB="0" distL="0" distR="0" simplePos="0" relativeHeight="251661312" behindDoc="0" locked="0" layoutInCell="1" allowOverlap="1" wp14:anchorId="31ED5C9C" wp14:editId="7A06A5C2">
                <wp:simplePos x="0" y="0"/>
                <wp:positionH relativeFrom="page">
                  <wp:posOffset>4128770</wp:posOffset>
                </wp:positionH>
                <wp:positionV relativeFrom="paragraph">
                  <wp:posOffset>196850</wp:posOffset>
                </wp:positionV>
                <wp:extent cx="2331720" cy="0"/>
                <wp:effectExtent l="13970" t="5080" r="6985" b="13970"/>
                <wp:wrapTopAndBottom/>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17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6437B0E" id="Line 3" o:spid="_x0000_s1026"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5.1pt,15.5pt" to="508.7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" strokeweight=".72pt">
                <w10:wrap type="topAndBottom" anchorx="page"/>
              </v:line>
            </w:pict>
          </mc:Fallback>
        </mc:AlternateContent>
      </w:r>
    </w:p>
    <w:p w:rsidR="00A2511E" w:rsidRPr="00A2511E" w:rsidRDefault="00A2511E" w:rsidP="001D1114">
      <w:pPr>
        <w:widowControl w:val="0"/>
        <w:tabs>
          <w:tab w:val="left" w:pos="720"/>
        </w:tabs>
        <w:autoSpaceDE w:val="0"/>
        <w:autoSpaceDN w:val="0"/>
        <w:spacing w:before="5" w:after="0" w:line="240" w:lineRule="auto"/>
        <w:ind w:left="4784"/>
        <w:contextualSpacing/>
        <w:rPr>
          <w:rFonts w:eastAsia="Times New Roman" w:cs="Times New Roman"/>
          <w:color w:val="0F0F0F"/>
          <w:w w:val="105"/>
          <w:szCs w:val="24"/>
        </w:rPr>
      </w:pPr>
      <w:r w:rsidRPr="00A2511E">
        <w:rPr>
          <w:rFonts w:eastAsia="Times New Roman" w:cs="Times New Roman"/>
          <w:szCs w:val="24"/>
        </w:rPr>
        <w:t>Dr. Suzanne Sutherland</w:t>
      </w:r>
      <w:r w:rsidRPr="00A2511E">
        <w:rPr>
          <w:rFonts w:eastAsia="Times New Roman" w:cs="Times New Roman"/>
          <w:color w:val="0F0F0F"/>
          <w:w w:val="105"/>
          <w:szCs w:val="24"/>
        </w:rPr>
        <w:t xml:space="preserve"> </w:t>
      </w:r>
    </w:p>
    <w:p w:rsidR="00A2511E" w:rsidRPr="00A2511E" w:rsidRDefault="00A2511E" w:rsidP="001D1114">
      <w:pPr>
        <w:widowControl w:val="0"/>
        <w:tabs>
          <w:tab w:val="left" w:pos="720"/>
        </w:tabs>
        <w:autoSpaceDE w:val="0"/>
        <w:autoSpaceDN w:val="0"/>
        <w:spacing w:before="5" w:after="0" w:line="240" w:lineRule="auto"/>
        <w:ind w:left="4784"/>
        <w:contextualSpacing/>
        <w:rPr>
          <w:rFonts w:eastAsia="Times New Roman" w:cs="Times New Roman"/>
          <w:szCs w:val="24"/>
        </w:rPr>
      </w:pPr>
      <w:r w:rsidRPr="00A2511E">
        <w:rPr>
          <w:rFonts w:eastAsia="Times New Roman" w:cs="Times New Roman"/>
          <w:color w:val="0F0F0F"/>
          <w:w w:val="105"/>
          <w:szCs w:val="24"/>
        </w:rPr>
        <w:t>History Department</w:t>
      </w:r>
    </w:p>
    <w:p w:rsidR="00A2511E" w:rsidRPr="00A2511E" w:rsidRDefault="00A2511E" w:rsidP="001D1114">
      <w:pPr>
        <w:widowControl w:val="0"/>
        <w:tabs>
          <w:tab w:val="left" w:pos="720"/>
        </w:tabs>
        <w:autoSpaceDE w:val="0"/>
        <w:autoSpaceDN w:val="0"/>
        <w:spacing w:after="0" w:line="240" w:lineRule="auto"/>
        <w:contextualSpacing/>
        <w:rPr>
          <w:rFonts w:eastAsia="Times New Roman" w:cs="Times New Roman"/>
          <w:sz w:val="20"/>
          <w:szCs w:val="24"/>
        </w:rPr>
      </w:pPr>
    </w:p>
    <w:p w:rsidR="00A2511E" w:rsidRPr="00A2511E" w:rsidRDefault="00A2511E" w:rsidP="001D1114">
      <w:pPr>
        <w:widowControl w:val="0"/>
        <w:tabs>
          <w:tab w:val="left" w:pos="720"/>
        </w:tabs>
        <w:autoSpaceDE w:val="0"/>
        <w:autoSpaceDN w:val="0"/>
        <w:spacing w:before="4" w:after="0" w:line="240" w:lineRule="auto"/>
        <w:contextualSpacing/>
        <w:rPr>
          <w:rFonts w:eastAsia="Times New Roman" w:cs="Times New Roman"/>
          <w:szCs w:val="24"/>
        </w:rPr>
      </w:pPr>
      <w:r w:rsidRPr="00A2511E">
        <w:rPr>
          <w:rFonts w:eastAsia="Times New Roman" w:cs="Times New Roman"/>
          <w:noProof/>
          <w:szCs w:val="24"/>
        </w:rPr>
        <mc:AlternateContent>
          <mc:Choice Requires="wps">
            <w:drawing>
              <wp:anchor distT="0" distB="0" distL="0" distR="0" simplePos="0" relativeHeight="251662336" behindDoc="0" locked="0" layoutInCell="1" allowOverlap="1" wp14:anchorId="6C12028D" wp14:editId="09F8DDD4">
                <wp:simplePos x="0" y="0"/>
                <wp:positionH relativeFrom="page">
                  <wp:posOffset>4128770</wp:posOffset>
                </wp:positionH>
                <wp:positionV relativeFrom="paragraph">
                  <wp:posOffset>207645</wp:posOffset>
                </wp:positionV>
                <wp:extent cx="2331720" cy="0"/>
                <wp:effectExtent l="13970" t="13970" r="6985" b="508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172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E6FDF2F" id="Line 2" o:spid="_x0000_s1026" style="position:absolute;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5.1pt,16.35pt" to="508.7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" strokeweight=".72pt">
                <w10:wrap type="topAndBottom" anchorx="page"/>
              </v:line>
            </w:pict>
          </mc:Fallback>
        </mc:AlternateContent>
      </w:r>
    </w:p>
    <w:p w:rsidR="00A2511E" w:rsidRPr="00A2511E" w:rsidRDefault="00A2511E" w:rsidP="001D1114">
      <w:pPr>
        <w:widowControl w:val="0"/>
        <w:tabs>
          <w:tab w:val="left" w:pos="720"/>
        </w:tabs>
        <w:autoSpaceDE w:val="0"/>
        <w:autoSpaceDN w:val="0"/>
        <w:spacing w:after="0" w:line="240" w:lineRule="auto"/>
        <w:ind w:left="4784"/>
        <w:contextualSpacing/>
        <w:rPr>
          <w:rFonts w:eastAsia="Times New Roman" w:cs="Times New Roman"/>
          <w:szCs w:val="24"/>
        </w:rPr>
      </w:pPr>
      <w:r w:rsidRPr="00A2511E">
        <w:rPr>
          <w:rFonts w:eastAsia="Times New Roman" w:cs="Times New Roman"/>
          <w:color w:val="0F0F0F"/>
          <w:szCs w:val="24"/>
        </w:rPr>
        <w:t>Dr. John Vile</w:t>
      </w:r>
    </w:p>
    <w:p w:rsidR="0024795F" w:rsidRDefault="00A2511E" w:rsidP="0024795F">
      <w:pPr>
        <w:widowControl w:val="0"/>
        <w:tabs>
          <w:tab w:val="left" w:pos="720"/>
        </w:tabs>
        <w:autoSpaceDE w:val="0"/>
        <w:autoSpaceDN w:val="0"/>
        <w:spacing w:before="5" w:after="0" w:line="240" w:lineRule="auto"/>
        <w:ind w:left="4784"/>
        <w:contextualSpacing/>
        <w:rPr>
          <w:rFonts w:eastAsia="Times New Roman" w:cs="Times New Roman"/>
          <w:szCs w:val="24"/>
        </w:rPr>
      </w:pPr>
      <w:r w:rsidRPr="00A2511E">
        <w:rPr>
          <w:rFonts w:eastAsia="Times New Roman" w:cs="Times New Roman"/>
          <w:color w:val="0F0F0F"/>
          <w:w w:val="105"/>
          <w:szCs w:val="24"/>
        </w:rPr>
        <w:t>Dean, University Honors Colleg</w:t>
      </w:r>
    </w:p>
    <w:p w:rsidR="00DE6631" w:rsidRPr="00A2511E" w:rsidRDefault="00DE6631" w:rsidP="0024795F">
      <w:pPr>
        <w:tabs>
          <w:tab w:val="center" w:pos="4320"/>
        </w:tabs>
        <w:contextualSpacing/>
        <w:rPr>
          <w:rFonts w:eastAsia="Times New Roman" w:cs="Times New Roman"/>
          <w:szCs w:val="24"/>
        </w:rPr>
      </w:pPr>
      <w:r w:rsidRPr="0024795F">
        <w:rPr>
          <w:rFonts w:eastAsia="Times New Roman" w:cs="Times New Roman"/>
          <w:szCs w:val="24"/>
        </w:rPr>
        <w:br w:type="page"/>
      </w:r>
      <w:r w:rsidR="0024795F">
        <w:rPr>
          <w:rFonts w:eastAsia="Times New Roman" w:cs="Times New Roman"/>
          <w:szCs w:val="24"/>
        </w:rPr>
        <w:lastRenderedPageBreak/>
        <w:tab/>
      </w:r>
    </w:p>
    <w:p w:rsidR="009A01CA" w:rsidRDefault="009A01CA" w:rsidP="001D1114">
      <w:pPr>
        <w:tabs>
          <w:tab w:val="left" w:pos="720"/>
        </w:tabs>
        <w:contextualSpacing/>
      </w:pPr>
    </w:p>
    <w:p w:rsidR="004148B2" w:rsidRDefault="004148B2"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1B1C26" w:rsidRDefault="001B1C26" w:rsidP="001D1114">
      <w:pPr>
        <w:contextualSpacing/>
        <w:rPr>
          <w:b/>
          <w:u w:val="single"/>
        </w:rPr>
      </w:pPr>
    </w:p>
    <w:p w:rsidR="001B1C26" w:rsidRDefault="001B1C26" w:rsidP="001D1114">
      <w:pPr>
        <w:contextualSpacing/>
        <w:rPr>
          <w:b/>
          <w:u w:val="single"/>
        </w:rPr>
      </w:pPr>
    </w:p>
    <w:p w:rsidR="004148B2" w:rsidRDefault="004148B2" w:rsidP="001D1114">
      <w:pPr>
        <w:contextualSpacing/>
        <w:rPr>
          <w:b/>
          <w:u w:val="single"/>
        </w:rPr>
      </w:pPr>
    </w:p>
    <w:p w:rsidR="004148B2" w:rsidRDefault="004148B2" w:rsidP="001D1114">
      <w:pPr>
        <w:contextualSpacing/>
        <w:rPr>
          <w:b/>
          <w:u w:val="single"/>
        </w:rPr>
      </w:pPr>
    </w:p>
    <w:p w:rsidR="001E7770" w:rsidRDefault="001E7770" w:rsidP="001D1114">
      <w:pPr>
        <w:contextualSpacing/>
        <w:rPr>
          <w:b/>
          <w:u w:val="single"/>
        </w:rPr>
      </w:pPr>
    </w:p>
    <w:p w:rsidR="001E7770" w:rsidRDefault="001E7770" w:rsidP="001D1114">
      <w:pPr>
        <w:contextualSpacing/>
        <w:rPr>
          <w:b/>
          <w:u w:val="single"/>
        </w:rPr>
      </w:pPr>
    </w:p>
    <w:p w:rsidR="001E7770" w:rsidRDefault="001E7770" w:rsidP="001D1114">
      <w:pPr>
        <w:contextualSpacing/>
        <w:rPr>
          <w:b/>
          <w:u w:val="single"/>
        </w:rPr>
      </w:pPr>
    </w:p>
    <w:p w:rsidR="001E7770" w:rsidRDefault="001E7770" w:rsidP="001D1114">
      <w:pPr>
        <w:contextualSpacing/>
        <w:rPr>
          <w:b/>
          <w:u w:val="single"/>
        </w:rPr>
      </w:pPr>
    </w:p>
    <w:p w:rsidR="001E7770" w:rsidRDefault="001E7770" w:rsidP="001D1114">
      <w:pPr>
        <w:contextualSpacing/>
        <w:rPr>
          <w:b/>
          <w:u w:val="single"/>
        </w:rPr>
      </w:pPr>
    </w:p>
    <w:p w:rsidR="004148B2" w:rsidRDefault="004148B2" w:rsidP="001D1114">
      <w:pPr>
        <w:contextualSpacing/>
        <w:jc w:val="center"/>
      </w:pPr>
      <w:r>
        <w:t>Dedicated to my parents</w:t>
      </w:r>
    </w:p>
    <w:p w:rsidR="004148B2" w:rsidRDefault="00AD7BF2" w:rsidP="001D1114">
      <w:pPr>
        <w:contextualSpacing/>
        <w:jc w:val="center"/>
      </w:pPr>
      <w:r>
        <w:t>James Edward Morton</w:t>
      </w:r>
    </w:p>
    <w:p w:rsidR="00AD7BF2" w:rsidRDefault="00AD7BF2" w:rsidP="001D1114">
      <w:pPr>
        <w:contextualSpacing/>
        <w:jc w:val="center"/>
      </w:pPr>
      <w:r>
        <w:t>who confessionalized his children and taught me to wonder</w:t>
      </w:r>
    </w:p>
    <w:p w:rsidR="00AD7BF2" w:rsidRDefault="00AD7BF2" w:rsidP="001D1114">
      <w:pPr>
        <w:contextualSpacing/>
        <w:jc w:val="center"/>
      </w:pPr>
      <w:r>
        <w:t>just what was the relationship between church and state,</w:t>
      </w:r>
    </w:p>
    <w:p w:rsidR="00AD7BF2" w:rsidRDefault="00AD7BF2" w:rsidP="001D1114">
      <w:pPr>
        <w:contextualSpacing/>
        <w:jc w:val="center"/>
      </w:pPr>
      <w:r>
        <w:t>and</w:t>
      </w:r>
    </w:p>
    <w:p w:rsidR="00AD7BF2" w:rsidRDefault="00AD7BF2" w:rsidP="001D1114">
      <w:pPr>
        <w:contextualSpacing/>
        <w:jc w:val="center"/>
      </w:pPr>
      <w:r>
        <w:t>Lillian Ardist Appleby Morton</w:t>
      </w:r>
    </w:p>
    <w:p w:rsidR="00AD7BF2" w:rsidRDefault="00AD7BF2" w:rsidP="001D1114">
      <w:pPr>
        <w:contextualSpacing/>
        <w:jc w:val="center"/>
      </w:pPr>
      <w:r>
        <w:t>who was an important part of confessionalization</w:t>
      </w:r>
    </w:p>
    <w:p w:rsidR="00AD7BF2" w:rsidRDefault="00AD7BF2" w:rsidP="001D1114">
      <w:pPr>
        <w:contextualSpacing/>
        <w:jc w:val="center"/>
      </w:pPr>
      <w:r>
        <w:t>in the Morton household.</w:t>
      </w:r>
    </w:p>
    <w:p w:rsidR="004148B2" w:rsidRDefault="004148B2" w:rsidP="001D1114">
      <w:pPr>
        <w:contextualSpacing/>
        <w:jc w:val="center"/>
      </w:pPr>
    </w:p>
    <w:p w:rsidR="00AD7BF2" w:rsidRDefault="00AD7BF2" w:rsidP="001D1114">
      <w:pPr>
        <w:contextualSpacing/>
      </w:pPr>
      <w:r>
        <w:br w:type="page"/>
      </w:r>
    </w:p>
    <w:p w:rsidR="00AD7BF2" w:rsidRDefault="00DE6631" w:rsidP="001D1114">
      <w:pPr>
        <w:contextualSpacing/>
        <w:jc w:val="center"/>
        <w:rPr>
          <w:b/>
          <w:u w:val="single"/>
        </w:rPr>
      </w:pPr>
      <w:r>
        <w:rPr>
          <w:b/>
          <w:u w:val="single"/>
        </w:rPr>
        <w:lastRenderedPageBreak/>
        <w:t>ACKNOWLEDGMENTS</w:t>
      </w:r>
    </w:p>
    <w:p w:rsidR="00D5463F" w:rsidRDefault="00D5463F" w:rsidP="00D5463F">
      <w:pPr>
        <w:contextualSpacing/>
        <w:rPr>
          <w:b/>
          <w:u w:val="single"/>
        </w:rPr>
      </w:pPr>
    </w:p>
    <w:p w:rsidR="001C7717" w:rsidRDefault="001C7717" w:rsidP="00D5463F">
      <w:pPr>
        <w:contextualSpacing/>
        <w:rPr>
          <w:b/>
          <w:u w:val="single"/>
        </w:rPr>
      </w:pPr>
    </w:p>
    <w:p w:rsidR="00D5463F" w:rsidRDefault="00D5463F" w:rsidP="001C7717">
      <w:pPr>
        <w:spacing w:line="480" w:lineRule="auto"/>
        <w:contextualSpacing/>
        <w:jc w:val="center"/>
      </w:pPr>
      <w:r w:rsidRPr="00D5463F">
        <w:t>With Grateful Appreciation to:</w:t>
      </w:r>
    </w:p>
    <w:p w:rsidR="00D5463F" w:rsidRDefault="00D5463F" w:rsidP="00D5463F">
      <w:pPr>
        <w:spacing w:line="240" w:lineRule="auto"/>
        <w:contextualSpacing/>
        <w:jc w:val="center"/>
      </w:pPr>
      <w:r>
        <w:t>Dr. Jennifer Woodward</w:t>
      </w:r>
    </w:p>
    <w:p w:rsidR="00D5463F" w:rsidRDefault="00D5463F" w:rsidP="00D5463F">
      <w:pPr>
        <w:spacing w:line="240" w:lineRule="auto"/>
        <w:contextualSpacing/>
        <w:jc w:val="center"/>
      </w:pPr>
      <w:r>
        <w:t>For being extremely patient with me during this process</w:t>
      </w:r>
      <w:r w:rsidR="007B3F50">
        <w:t>.</w:t>
      </w:r>
    </w:p>
    <w:p w:rsidR="00D5463F" w:rsidRDefault="00D5463F" w:rsidP="00D5463F">
      <w:pPr>
        <w:spacing w:line="240" w:lineRule="auto"/>
        <w:contextualSpacing/>
        <w:jc w:val="center"/>
      </w:pPr>
      <w:r>
        <w:t>For working very hard to keep me on track</w:t>
      </w:r>
      <w:r w:rsidR="007B3F50">
        <w:t>.</w:t>
      </w:r>
    </w:p>
    <w:p w:rsidR="00D5463F" w:rsidRDefault="00D5463F" w:rsidP="00D5463F">
      <w:pPr>
        <w:spacing w:line="240" w:lineRule="auto"/>
        <w:contextualSpacing/>
        <w:jc w:val="center"/>
      </w:pPr>
      <w:r>
        <w:t>For all of her sage counsel</w:t>
      </w:r>
      <w:r w:rsidR="007B3F50">
        <w:t>.</w:t>
      </w:r>
    </w:p>
    <w:p w:rsidR="00D5463F" w:rsidRDefault="00D5463F" w:rsidP="00D5463F">
      <w:pPr>
        <w:spacing w:line="240" w:lineRule="auto"/>
        <w:contextualSpacing/>
        <w:jc w:val="center"/>
      </w:pPr>
      <w:r>
        <w:t>For believing in me</w:t>
      </w:r>
      <w:r w:rsidR="007B3F50">
        <w:t>.</w:t>
      </w:r>
    </w:p>
    <w:p w:rsidR="00D5463F" w:rsidRDefault="00D5463F" w:rsidP="00D5463F">
      <w:pPr>
        <w:spacing w:line="480" w:lineRule="auto"/>
        <w:contextualSpacing/>
        <w:jc w:val="center"/>
      </w:pPr>
    </w:p>
    <w:p w:rsidR="00D5463F" w:rsidRDefault="00D5463F" w:rsidP="00D5463F">
      <w:pPr>
        <w:spacing w:line="240" w:lineRule="auto"/>
        <w:contextualSpacing/>
        <w:jc w:val="center"/>
      </w:pPr>
      <w:r>
        <w:t>Dr. Suzanne Sutherland</w:t>
      </w:r>
    </w:p>
    <w:p w:rsidR="00D5463F" w:rsidRDefault="00D5463F" w:rsidP="00D5463F">
      <w:pPr>
        <w:spacing w:line="240" w:lineRule="auto"/>
        <w:contextualSpacing/>
        <w:jc w:val="center"/>
      </w:pPr>
      <w:r>
        <w:t>For also being patient with me as I missed every deadline</w:t>
      </w:r>
      <w:r w:rsidR="007B3F50">
        <w:t>.</w:t>
      </w:r>
    </w:p>
    <w:p w:rsidR="00D5463F" w:rsidRDefault="00D5463F" w:rsidP="00D5463F">
      <w:pPr>
        <w:spacing w:line="240" w:lineRule="auto"/>
        <w:contextualSpacing/>
        <w:jc w:val="center"/>
      </w:pPr>
      <w:r>
        <w:t>For guiding me through the pitfalls of the Reformation</w:t>
      </w:r>
      <w:r w:rsidR="007B3F50">
        <w:t>.</w:t>
      </w:r>
    </w:p>
    <w:p w:rsidR="00D5463F" w:rsidRDefault="007B3F50" w:rsidP="00D5463F">
      <w:pPr>
        <w:spacing w:line="240" w:lineRule="auto"/>
        <w:contextualSpacing/>
        <w:jc w:val="center"/>
      </w:pPr>
      <w:r>
        <w:t>For helping change my perceptions of what was.</w:t>
      </w:r>
    </w:p>
    <w:p w:rsidR="007B3F50" w:rsidRDefault="007B3F50" w:rsidP="00D5463F">
      <w:pPr>
        <w:spacing w:line="240" w:lineRule="auto"/>
        <w:contextualSpacing/>
        <w:jc w:val="center"/>
      </w:pPr>
      <w:r>
        <w:t>For also believing in me.</w:t>
      </w:r>
    </w:p>
    <w:p w:rsidR="007B3F50" w:rsidRDefault="007B3F50" w:rsidP="00D5463F">
      <w:pPr>
        <w:spacing w:line="240" w:lineRule="auto"/>
        <w:contextualSpacing/>
        <w:jc w:val="center"/>
      </w:pPr>
    </w:p>
    <w:p w:rsidR="007B3F50" w:rsidRDefault="007B3F50" w:rsidP="00D5463F">
      <w:pPr>
        <w:spacing w:line="240" w:lineRule="auto"/>
        <w:contextualSpacing/>
        <w:jc w:val="center"/>
      </w:pPr>
      <w:r>
        <w:t>Dr Lynn Nelson</w:t>
      </w:r>
    </w:p>
    <w:p w:rsidR="007B3F50" w:rsidRDefault="007B3F50" w:rsidP="00D5463F">
      <w:pPr>
        <w:spacing w:line="240" w:lineRule="auto"/>
        <w:contextualSpacing/>
        <w:jc w:val="center"/>
      </w:pPr>
      <w:r>
        <w:t xml:space="preserve">For showing me </w:t>
      </w:r>
      <w:r w:rsidR="0024795F">
        <w:t>some</w:t>
      </w:r>
      <w:r>
        <w:t xml:space="preserve"> rocks to turn over.</w:t>
      </w:r>
    </w:p>
    <w:p w:rsidR="007B3F50" w:rsidRDefault="007B3F50" w:rsidP="00D5463F">
      <w:pPr>
        <w:spacing w:line="240" w:lineRule="auto"/>
        <w:contextualSpacing/>
        <w:jc w:val="center"/>
      </w:pPr>
    </w:p>
    <w:p w:rsidR="007B3F50" w:rsidRDefault="007B3F50" w:rsidP="00D5463F">
      <w:pPr>
        <w:spacing w:line="240" w:lineRule="auto"/>
        <w:contextualSpacing/>
        <w:jc w:val="center"/>
      </w:pPr>
      <w:r>
        <w:t>Dr. John Vile</w:t>
      </w:r>
    </w:p>
    <w:p w:rsidR="007B3F50" w:rsidRDefault="007B3F50" w:rsidP="00D5463F">
      <w:pPr>
        <w:spacing w:line="240" w:lineRule="auto"/>
        <w:contextualSpacing/>
        <w:jc w:val="center"/>
      </w:pPr>
      <w:r>
        <w:t>For steering me in the right direction.</w:t>
      </w:r>
    </w:p>
    <w:p w:rsidR="007B3F50" w:rsidRDefault="007B3F50" w:rsidP="00D5463F">
      <w:pPr>
        <w:spacing w:line="240" w:lineRule="auto"/>
        <w:contextualSpacing/>
        <w:jc w:val="center"/>
      </w:pPr>
    </w:p>
    <w:p w:rsidR="007B3F50" w:rsidRDefault="001C7717" w:rsidP="00D5463F">
      <w:pPr>
        <w:spacing w:line="240" w:lineRule="auto"/>
        <w:contextualSpacing/>
        <w:jc w:val="center"/>
      </w:pPr>
      <w:r>
        <w:t>M</w:t>
      </w:r>
      <w:r w:rsidR="007B3F50">
        <w:t>y Mock Trial team</w:t>
      </w:r>
    </w:p>
    <w:p w:rsidR="007B3F50" w:rsidRDefault="007B3F50" w:rsidP="00D5463F">
      <w:pPr>
        <w:spacing w:line="240" w:lineRule="auto"/>
        <w:contextualSpacing/>
        <w:jc w:val="center"/>
      </w:pPr>
      <w:r>
        <w:t>Who had to hear a thousand times,</w:t>
      </w:r>
    </w:p>
    <w:p w:rsidR="007B3F50" w:rsidRDefault="007B3F50" w:rsidP="00D5463F">
      <w:pPr>
        <w:spacing w:line="240" w:lineRule="auto"/>
        <w:contextualSpacing/>
        <w:jc w:val="center"/>
      </w:pPr>
      <w:r>
        <w:t>“I can’t, I have to work on my thesis.”</w:t>
      </w:r>
    </w:p>
    <w:p w:rsidR="007B3F50" w:rsidRDefault="007B3F50" w:rsidP="00D5463F">
      <w:pPr>
        <w:spacing w:line="240" w:lineRule="auto"/>
        <w:contextualSpacing/>
        <w:jc w:val="center"/>
      </w:pPr>
    </w:p>
    <w:p w:rsidR="007B3F50" w:rsidRDefault="007B3F50" w:rsidP="00D5463F">
      <w:pPr>
        <w:spacing w:line="240" w:lineRule="auto"/>
        <w:contextualSpacing/>
        <w:jc w:val="center"/>
      </w:pPr>
      <w:r>
        <w:t>Especially to</w:t>
      </w:r>
    </w:p>
    <w:p w:rsidR="007B3F50" w:rsidRDefault="007B3F50" w:rsidP="00D5463F">
      <w:pPr>
        <w:spacing w:line="240" w:lineRule="auto"/>
        <w:contextualSpacing/>
        <w:jc w:val="center"/>
      </w:pPr>
      <w:r>
        <w:t>Catherine Clare Farone</w:t>
      </w:r>
    </w:p>
    <w:p w:rsidR="007B3F50" w:rsidRDefault="007B3F50" w:rsidP="00D5463F">
      <w:pPr>
        <w:spacing w:line="240" w:lineRule="auto"/>
        <w:contextualSpacing/>
        <w:jc w:val="center"/>
      </w:pPr>
      <w:r>
        <w:t xml:space="preserve">Who was the first person to actually </w:t>
      </w:r>
      <w:r w:rsidRPr="007B3F50">
        <w:rPr>
          <w:i/>
        </w:rPr>
        <w:t>ask</w:t>
      </w:r>
      <w:r>
        <w:t xml:space="preserve"> to read this.</w:t>
      </w:r>
    </w:p>
    <w:p w:rsidR="007B3F50" w:rsidRDefault="007B3F50" w:rsidP="00D5463F">
      <w:pPr>
        <w:spacing w:line="240" w:lineRule="auto"/>
        <w:contextualSpacing/>
        <w:jc w:val="center"/>
      </w:pPr>
    </w:p>
    <w:p w:rsidR="007B3F50" w:rsidRDefault="007B3F50" w:rsidP="00D5463F">
      <w:pPr>
        <w:spacing w:line="240" w:lineRule="auto"/>
        <w:contextualSpacing/>
        <w:jc w:val="center"/>
      </w:pPr>
      <w:r>
        <w:t>To all my friends and family</w:t>
      </w:r>
    </w:p>
    <w:p w:rsidR="007B3F50" w:rsidRDefault="007B3F50" w:rsidP="00D5463F">
      <w:pPr>
        <w:spacing w:line="240" w:lineRule="auto"/>
        <w:contextualSpacing/>
        <w:jc w:val="center"/>
      </w:pPr>
      <w:r>
        <w:t>Who had to hear me purge constantly about:</w:t>
      </w:r>
    </w:p>
    <w:p w:rsidR="007B3F50" w:rsidRDefault="007B3F50" w:rsidP="00D5463F">
      <w:pPr>
        <w:spacing w:line="240" w:lineRule="auto"/>
        <w:contextualSpacing/>
        <w:jc w:val="center"/>
      </w:pPr>
      <w:r>
        <w:t>James Madison, yes, he hated slavery.</w:t>
      </w:r>
    </w:p>
    <w:p w:rsidR="007B3F50" w:rsidRDefault="007B3F50" w:rsidP="00D5463F">
      <w:pPr>
        <w:spacing w:line="240" w:lineRule="auto"/>
        <w:contextualSpacing/>
        <w:jc w:val="center"/>
      </w:pPr>
      <w:r>
        <w:t>Martin Luther, yes, he had a thing for bonfires.</w:t>
      </w:r>
    </w:p>
    <w:p w:rsidR="007B3F50" w:rsidRDefault="007B3F50" w:rsidP="00D5463F">
      <w:pPr>
        <w:spacing w:line="240" w:lineRule="auto"/>
        <w:contextualSpacing/>
        <w:jc w:val="center"/>
      </w:pPr>
      <w:r>
        <w:t>Justice Hugo Black, yes, he was in the K.K.K.</w:t>
      </w:r>
    </w:p>
    <w:p w:rsidR="001C7717" w:rsidRDefault="008614E5" w:rsidP="008614E5">
      <w:pPr>
        <w:contextualSpacing/>
        <w:jc w:val="center"/>
      </w:pPr>
      <w:r w:rsidRPr="009A0112">
        <w:rPr>
          <w:i/>
        </w:rPr>
        <w:t>Et cetera</w:t>
      </w:r>
      <w:r>
        <w:t>.</w:t>
      </w:r>
    </w:p>
    <w:p w:rsidR="001C7717" w:rsidRDefault="001C7717" w:rsidP="008614E5">
      <w:pPr>
        <w:contextualSpacing/>
        <w:jc w:val="center"/>
        <w:rPr>
          <w:b/>
          <w:u w:val="single"/>
        </w:rPr>
      </w:pPr>
    </w:p>
    <w:p w:rsidR="001C7717" w:rsidRDefault="001C7717" w:rsidP="008614E5">
      <w:pPr>
        <w:contextualSpacing/>
        <w:jc w:val="center"/>
      </w:pPr>
      <w:r>
        <w:t>My sister Dr. D. Jael Morton</w:t>
      </w:r>
    </w:p>
    <w:p w:rsidR="001C7717" w:rsidRDefault="001C7717" w:rsidP="008614E5">
      <w:pPr>
        <w:contextualSpacing/>
        <w:jc w:val="center"/>
      </w:pPr>
      <w:r>
        <w:t>For helping me stay grammatically honest.</w:t>
      </w:r>
    </w:p>
    <w:p w:rsidR="001C7717" w:rsidRDefault="001C7717" w:rsidP="008614E5">
      <w:pPr>
        <w:contextualSpacing/>
        <w:jc w:val="center"/>
      </w:pPr>
      <w:r>
        <w:t xml:space="preserve">And for graciously opening her home to me while </w:t>
      </w:r>
    </w:p>
    <w:p w:rsidR="001C7717" w:rsidRPr="001C7717" w:rsidRDefault="001C7717" w:rsidP="008614E5">
      <w:pPr>
        <w:contextualSpacing/>
        <w:jc w:val="center"/>
      </w:pPr>
      <w:r>
        <w:t>I pursued an education.</w:t>
      </w:r>
    </w:p>
    <w:p w:rsidR="001C7717" w:rsidRDefault="001C7717">
      <w:pPr>
        <w:rPr>
          <w:b/>
          <w:u w:val="single"/>
        </w:rPr>
      </w:pPr>
      <w:r>
        <w:rPr>
          <w:b/>
          <w:u w:val="single"/>
        </w:rPr>
        <w:br w:type="page"/>
      </w:r>
    </w:p>
    <w:p w:rsidR="00AC7F40" w:rsidRDefault="00AC7F40" w:rsidP="001C7717">
      <w:pPr>
        <w:contextualSpacing/>
        <w:jc w:val="center"/>
        <w:rPr>
          <w:b/>
          <w:u w:val="single"/>
        </w:rPr>
      </w:pPr>
      <w:r>
        <w:rPr>
          <w:b/>
          <w:u w:val="single"/>
        </w:rPr>
        <w:lastRenderedPageBreak/>
        <w:t>ABSTRACT</w:t>
      </w:r>
    </w:p>
    <w:p w:rsidR="00AC7F40" w:rsidRDefault="00AC7F40" w:rsidP="001D1114">
      <w:pPr>
        <w:contextualSpacing/>
        <w:jc w:val="center"/>
      </w:pPr>
    </w:p>
    <w:p w:rsidR="00AC7F40" w:rsidRDefault="00DD6E76" w:rsidP="0090393C">
      <w:pPr>
        <w:tabs>
          <w:tab w:val="left" w:pos="720"/>
        </w:tabs>
        <w:spacing w:line="480" w:lineRule="auto"/>
        <w:contextualSpacing/>
      </w:pPr>
      <w:bookmarkStart w:id="1" w:name="_Hlk519515866"/>
      <w:r>
        <w:tab/>
      </w:r>
      <w:r w:rsidRPr="005545AE">
        <w:t xml:space="preserve">In </w:t>
      </w:r>
      <w:r w:rsidRPr="008446CC">
        <w:rPr>
          <w:i/>
        </w:rPr>
        <w:t>Everson v. B</w:t>
      </w:r>
      <w:r>
        <w:rPr>
          <w:i/>
        </w:rPr>
        <w:t>oar</w:t>
      </w:r>
      <w:r w:rsidRPr="008446CC">
        <w:rPr>
          <w:i/>
        </w:rPr>
        <w:t>d. of Ed</w:t>
      </w:r>
      <w:r>
        <w:rPr>
          <w:i/>
        </w:rPr>
        <w:t>ucation</w:t>
      </w:r>
      <w:r w:rsidRPr="008446CC">
        <w:rPr>
          <w:i/>
        </w:rPr>
        <w:t xml:space="preserve"> of Ewing T</w:t>
      </w:r>
      <w:r>
        <w:rPr>
          <w:i/>
        </w:rPr>
        <w:t>ownship</w:t>
      </w:r>
      <w:r>
        <w:t>, 330 U.S. 1 (1947),</w:t>
      </w:r>
      <w:r w:rsidRPr="005545AE">
        <w:t xml:space="preserve"> Justice Hugo Black</w:t>
      </w:r>
      <w:r>
        <w:t xml:space="preserve"> and dissenting Justice Wiley Rutledge </w:t>
      </w:r>
      <w:r w:rsidRPr="005545AE">
        <w:t xml:space="preserve">relied on the </w:t>
      </w:r>
      <w:r>
        <w:t>words</w:t>
      </w:r>
      <w:r w:rsidRPr="005545AE">
        <w:t xml:space="preserve"> of the </w:t>
      </w:r>
      <w:r>
        <w:t>f</w:t>
      </w:r>
      <w:r w:rsidRPr="005545AE">
        <w:t xml:space="preserve">ounding </w:t>
      </w:r>
      <w:r>
        <w:t>f</w:t>
      </w:r>
      <w:r w:rsidRPr="005545AE">
        <w:t xml:space="preserve">athers to interpret the Establishment Clause of the First Amendment. </w:t>
      </w:r>
      <w:r>
        <w:t xml:space="preserve">This thesis looks beyond the founding father’s statements to the cultural and historical influences that induced the inclusion of the Establishment Clause in the Bill of Rights. Using James Madison as the principal architect of the Bill of Rights, this thesis explores the possible influences of the Reformation, the Enlightenment, and societal issues of the mid-eighteenth century in creating Madison’s understanding of the proper relationship between the church and the state. This is compared to the </w:t>
      </w:r>
      <w:r>
        <w:rPr>
          <w:i/>
        </w:rPr>
        <w:t>Everson</w:t>
      </w:r>
      <w:r>
        <w:t xml:space="preserve"> decision to determine if the Justices use of originalism </w:t>
      </w:r>
      <w:r w:rsidRPr="005545AE">
        <w:t xml:space="preserve">is consistent with the </w:t>
      </w:r>
      <w:r>
        <w:t>Madison</w:t>
      </w:r>
      <w:r w:rsidRPr="005545AE">
        <w:t>’s intentions.</w:t>
      </w:r>
      <w:r>
        <w:t xml:space="preserve"> This thesis finds that the Supreme Court in </w:t>
      </w:r>
      <w:r w:rsidRPr="004B075D">
        <w:rPr>
          <w:i/>
        </w:rPr>
        <w:t>Everson</w:t>
      </w:r>
      <w:r>
        <w:t xml:space="preserve"> misinterprets Madison by failing to account for his cultural context. </w:t>
      </w:r>
      <w:bookmarkEnd w:id="1"/>
      <w:r w:rsidR="00AC7F40">
        <w:br w:type="page"/>
      </w:r>
    </w:p>
    <w:p w:rsidR="00AC7F40" w:rsidRDefault="00AC7F40" w:rsidP="001D1114">
      <w:pPr>
        <w:tabs>
          <w:tab w:val="left" w:pos="720"/>
        </w:tabs>
        <w:spacing w:line="240" w:lineRule="auto"/>
        <w:contextualSpacing/>
        <w:jc w:val="center"/>
        <w:rPr>
          <w:b/>
          <w:szCs w:val="24"/>
          <w:u w:val="single"/>
        </w:rPr>
      </w:pPr>
    </w:p>
    <w:p w:rsidR="00AA22CE" w:rsidRDefault="00AA22CE" w:rsidP="001D1114">
      <w:pPr>
        <w:tabs>
          <w:tab w:val="left" w:pos="720"/>
        </w:tabs>
        <w:spacing w:line="240" w:lineRule="auto"/>
        <w:contextualSpacing/>
        <w:jc w:val="center"/>
        <w:rPr>
          <w:b/>
          <w:szCs w:val="24"/>
          <w:u w:val="single"/>
        </w:rPr>
      </w:pPr>
      <w:r>
        <w:rPr>
          <w:b/>
          <w:szCs w:val="24"/>
          <w:u w:val="single"/>
        </w:rPr>
        <w:t>PREFACE</w:t>
      </w:r>
    </w:p>
    <w:p w:rsidR="00AA22CE" w:rsidRDefault="00AA22CE" w:rsidP="001D1114">
      <w:pPr>
        <w:tabs>
          <w:tab w:val="left" w:pos="720"/>
        </w:tabs>
        <w:spacing w:line="240" w:lineRule="auto"/>
        <w:contextualSpacing/>
        <w:jc w:val="center"/>
        <w:rPr>
          <w:b/>
          <w:szCs w:val="24"/>
          <w:u w:val="single"/>
        </w:rPr>
      </w:pPr>
    </w:p>
    <w:p w:rsidR="00AA22CE" w:rsidRDefault="00AA22CE" w:rsidP="001D1114">
      <w:pPr>
        <w:tabs>
          <w:tab w:val="left" w:pos="720"/>
        </w:tabs>
        <w:spacing w:line="480" w:lineRule="auto"/>
        <w:contextualSpacing/>
        <w:rPr>
          <w:szCs w:val="24"/>
        </w:rPr>
      </w:pPr>
      <w:r>
        <w:rPr>
          <w:szCs w:val="24"/>
        </w:rPr>
        <w:tab/>
        <w:t>When I was a child, color televisions were a fairly new phenomen</w:t>
      </w:r>
      <w:r w:rsidR="00FA34D5">
        <w:rPr>
          <w:szCs w:val="24"/>
        </w:rPr>
        <w:t>on</w:t>
      </w:r>
      <w:r>
        <w:rPr>
          <w:szCs w:val="24"/>
        </w:rPr>
        <w:t xml:space="preserve">. My father, a Presbyterian minister, could not afford a television. So, when one of his parishioners bought a new color television and gave </w:t>
      </w:r>
      <w:r w:rsidR="001C7717">
        <w:rPr>
          <w:szCs w:val="24"/>
        </w:rPr>
        <w:t>his</w:t>
      </w:r>
      <w:r>
        <w:rPr>
          <w:szCs w:val="24"/>
        </w:rPr>
        <w:t xml:space="preserve"> older model black and white </w:t>
      </w:r>
      <w:r w:rsidR="005545AE">
        <w:rPr>
          <w:szCs w:val="24"/>
        </w:rPr>
        <w:t>television</w:t>
      </w:r>
      <w:r>
        <w:rPr>
          <w:szCs w:val="24"/>
        </w:rPr>
        <w:t xml:space="preserve"> to my dad, it was a fairly exciting moment for the family. Television viewing quickly became a family activity, much like the family dinner that </w:t>
      </w:r>
      <w:r w:rsidRPr="00805248">
        <w:rPr>
          <w:szCs w:val="24"/>
        </w:rPr>
        <w:t>preceded it</w:t>
      </w:r>
      <w:r>
        <w:rPr>
          <w:szCs w:val="24"/>
        </w:rPr>
        <w:t xml:space="preserve">. </w:t>
      </w:r>
      <w:r w:rsidRPr="00805248">
        <w:rPr>
          <w:szCs w:val="24"/>
        </w:rPr>
        <w:t>I, like my siblings</w:t>
      </w:r>
      <w:r>
        <w:rPr>
          <w:szCs w:val="24"/>
        </w:rPr>
        <w:t>,</w:t>
      </w:r>
      <w:r w:rsidRPr="00805248">
        <w:rPr>
          <w:szCs w:val="24"/>
        </w:rPr>
        <w:t xml:space="preserve"> were dad’s “remote controls” for the television</w:t>
      </w:r>
      <w:r>
        <w:rPr>
          <w:szCs w:val="24"/>
        </w:rPr>
        <w:t>.</w:t>
      </w:r>
      <w:r w:rsidRPr="00805248">
        <w:rPr>
          <w:szCs w:val="24"/>
        </w:rPr>
        <w:t xml:space="preserve"> </w:t>
      </w:r>
      <w:r>
        <w:rPr>
          <w:szCs w:val="24"/>
        </w:rPr>
        <w:t>“Jimmy,” my dad would say, “change the television to channel three.” Sometimes, if I w</w:t>
      </w:r>
      <w:r w:rsidR="00FA34D5">
        <w:rPr>
          <w:szCs w:val="24"/>
        </w:rPr>
        <w:t>ere</w:t>
      </w:r>
      <w:r>
        <w:rPr>
          <w:szCs w:val="24"/>
        </w:rPr>
        <w:t xml:space="preserve"> sitting close enough</w:t>
      </w:r>
      <w:r w:rsidR="0024795F">
        <w:rPr>
          <w:szCs w:val="24"/>
        </w:rPr>
        <w:t>,</w:t>
      </w:r>
      <w:r>
        <w:rPr>
          <w:szCs w:val="24"/>
        </w:rPr>
        <w:t xml:space="preserve"> his request was followed by a light tap on the head</w:t>
      </w:r>
      <w:r w:rsidR="00FA34D5">
        <w:rPr>
          <w:szCs w:val="24"/>
        </w:rPr>
        <w:t>,</w:t>
      </w:r>
      <w:r>
        <w:rPr>
          <w:szCs w:val="24"/>
        </w:rPr>
        <w:t xml:space="preserve"> and the channel change was always followed by the laborious process of adjusting the rabbit ear antenna to get better reception. </w:t>
      </w:r>
    </w:p>
    <w:p w:rsidR="00AA22CE" w:rsidRDefault="00AA22CE" w:rsidP="001D1114">
      <w:pPr>
        <w:tabs>
          <w:tab w:val="left" w:pos="720"/>
        </w:tabs>
        <w:spacing w:line="480" w:lineRule="auto"/>
        <w:contextualSpacing/>
        <w:rPr>
          <w:szCs w:val="24"/>
        </w:rPr>
      </w:pPr>
      <w:r>
        <w:rPr>
          <w:szCs w:val="24"/>
        </w:rPr>
        <w:tab/>
        <w:t>As a child I felt proud to be trusted with this important activity. C</w:t>
      </w:r>
      <w:r w:rsidRPr="00805248">
        <w:rPr>
          <w:szCs w:val="24"/>
        </w:rPr>
        <w:t>onsequently</w:t>
      </w:r>
      <w:r>
        <w:rPr>
          <w:szCs w:val="24"/>
        </w:rPr>
        <w:t>,</w:t>
      </w:r>
      <w:r w:rsidRPr="00805248">
        <w:rPr>
          <w:szCs w:val="24"/>
        </w:rPr>
        <w:t xml:space="preserve"> I was usually in the living room when my father was watching Chet Huntley and David Brinkley on the evening news. </w:t>
      </w:r>
      <w:r>
        <w:rPr>
          <w:szCs w:val="24"/>
        </w:rPr>
        <w:t>My father was not one given to constant chatter. He was generally a quiet man despite the fact that as a preacher he was a public speaker. However, when a news story addressed the subject of church and state relations my father</w:t>
      </w:r>
      <w:r w:rsidR="008D6624">
        <w:rPr>
          <w:szCs w:val="24"/>
        </w:rPr>
        <w:t xml:space="preserve"> often</w:t>
      </w:r>
      <w:r>
        <w:rPr>
          <w:szCs w:val="24"/>
        </w:rPr>
        <w:t xml:space="preserve"> expressed his opinion vocally. “The First Amendment is for the protection of the church, not the state” he remonstrated in reply to the television. </w:t>
      </w:r>
    </w:p>
    <w:p w:rsidR="00AA22CE" w:rsidRDefault="00AA22CE" w:rsidP="001D1114">
      <w:pPr>
        <w:tabs>
          <w:tab w:val="left" w:pos="720"/>
        </w:tabs>
        <w:spacing w:line="480" w:lineRule="auto"/>
        <w:contextualSpacing/>
        <w:rPr>
          <w:szCs w:val="24"/>
        </w:rPr>
      </w:pPr>
      <w:r>
        <w:rPr>
          <w:szCs w:val="24"/>
        </w:rPr>
        <w:tab/>
        <w:t>Young boys have a penchant to believe their father</w:t>
      </w:r>
      <w:r w:rsidR="003242B8">
        <w:rPr>
          <w:szCs w:val="24"/>
        </w:rPr>
        <w:t xml:space="preserve"> is</w:t>
      </w:r>
      <w:r>
        <w:rPr>
          <w:szCs w:val="24"/>
        </w:rPr>
        <w:t xml:space="preserve"> the smartest person in the whole world and in that regard, I was no different; however, as I have grown up, current events do not generally support the argument that my father carried on with the news </w:t>
      </w:r>
      <w:r>
        <w:rPr>
          <w:i/>
          <w:szCs w:val="24"/>
        </w:rPr>
        <w:t>de jour</w:t>
      </w:r>
      <w:r>
        <w:rPr>
          <w:szCs w:val="24"/>
        </w:rPr>
        <w:t xml:space="preserve">, leading me to question what the correct interpretation of the First Amendment might be. During my teenage years my father pursued a Doctorate of Education in the field of church and state. Unfortunately, he was never able, due to financial circumstances, to </w:t>
      </w:r>
      <w:r>
        <w:rPr>
          <w:szCs w:val="24"/>
        </w:rPr>
        <w:lastRenderedPageBreak/>
        <w:t>complete that endeavor. Several days before he passed away we had a conversation in which he expressed regret at his failure to do so. S</w:t>
      </w:r>
      <w:r w:rsidR="001C7717">
        <w:rPr>
          <w:szCs w:val="24"/>
        </w:rPr>
        <w:t>ubsequently,</w:t>
      </w:r>
      <w:r>
        <w:rPr>
          <w:szCs w:val="24"/>
        </w:rPr>
        <w:t xml:space="preserve"> I made the decision to honor my father</w:t>
      </w:r>
      <w:r w:rsidR="001C7717">
        <w:rPr>
          <w:szCs w:val="24"/>
        </w:rPr>
        <w:t xml:space="preserve">, </w:t>
      </w:r>
      <w:r>
        <w:rPr>
          <w:szCs w:val="24"/>
        </w:rPr>
        <w:t>mak</w:t>
      </w:r>
      <w:r w:rsidR="001C7717">
        <w:rPr>
          <w:szCs w:val="24"/>
        </w:rPr>
        <w:t>ing</w:t>
      </w:r>
      <w:r>
        <w:rPr>
          <w:szCs w:val="24"/>
        </w:rPr>
        <w:t xml:space="preserve"> this my life’s work. Th</w:t>
      </w:r>
      <w:r w:rsidR="005545AE">
        <w:rPr>
          <w:szCs w:val="24"/>
        </w:rPr>
        <w:t>is then is</w:t>
      </w:r>
      <w:r>
        <w:rPr>
          <w:szCs w:val="24"/>
        </w:rPr>
        <w:t xml:space="preserve"> the genesis for this thesis which is my first </w:t>
      </w:r>
      <w:r w:rsidR="006600A0">
        <w:rPr>
          <w:szCs w:val="24"/>
        </w:rPr>
        <w:t>attempt at addressing the subject of</w:t>
      </w:r>
      <w:r>
        <w:rPr>
          <w:szCs w:val="24"/>
        </w:rPr>
        <w:t xml:space="preserve"> church and state.</w:t>
      </w:r>
    </w:p>
    <w:p w:rsidR="006517CE" w:rsidRDefault="00DD3CBF" w:rsidP="001D1114">
      <w:pPr>
        <w:tabs>
          <w:tab w:val="left" w:pos="720"/>
        </w:tabs>
        <w:spacing w:line="480" w:lineRule="auto"/>
        <w:contextualSpacing/>
        <w:rPr>
          <w:szCs w:val="24"/>
        </w:rPr>
      </w:pPr>
      <w:r>
        <w:rPr>
          <w:szCs w:val="24"/>
        </w:rPr>
        <w:tab/>
      </w:r>
      <w:r w:rsidR="006600A0">
        <w:rPr>
          <w:szCs w:val="24"/>
        </w:rPr>
        <w:t>Almost eight years after my father’s passing, and s</w:t>
      </w:r>
      <w:r>
        <w:rPr>
          <w:szCs w:val="24"/>
        </w:rPr>
        <w:t xml:space="preserve">hortly after I finished my </w:t>
      </w:r>
      <w:r w:rsidR="00B84109">
        <w:rPr>
          <w:szCs w:val="24"/>
        </w:rPr>
        <w:t>writing on the Reformation period</w:t>
      </w:r>
      <w:r w:rsidR="008D6624">
        <w:rPr>
          <w:szCs w:val="24"/>
        </w:rPr>
        <w:t xml:space="preserve"> for this project</w:t>
      </w:r>
      <w:r w:rsidR="00537E1E">
        <w:rPr>
          <w:szCs w:val="24"/>
        </w:rPr>
        <w:t>,</w:t>
      </w:r>
      <w:r w:rsidR="00B84109">
        <w:rPr>
          <w:szCs w:val="24"/>
        </w:rPr>
        <w:t xml:space="preserve"> I was discussing my work with my sister Janetta Morton. She mailed me a folder that contained some of my father’s papers </w:t>
      </w:r>
      <w:r w:rsidR="00196C6F">
        <w:rPr>
          <w:szCs w:val="24"/>
        </w:rPr>
        <w:t>which</w:t>
      </w:r>
      <w:r w:rsidR="00B84109">
        <w:rPr>
          <w:szCs w:val="24"/>
        </w:rPr>
        <w:t xml:space="preserve"> he wrote for various classes at the different universities that he attended. One in particular caught my attention. Titled: </w:t>
      </w:r>
      <w:bookmarkStart w:id="2" w:name="_Hlk519326872"/>
      <w:r w:rsidR="00B84109">
        <w:rPr>
          <w:i/>
          <w:szCs w:val="24"/>
        </w:rPr>
        <w:t>Church and State in Protestant Tradition</w:t>
      </w:r>
      <w:bookmarkEnd w:id="2"/>
      <w:r w:rsidR="00B84109">
        <w:rPr>
          <w:szCs w:val="24"/>
        </w:rPr>
        <w:t xml:space="preserve"> it was written for a </w:t>
      </w:r>
      <w:r w:rsidR="006600A0">
        <w:rPr>
          <w:szCs w:val="24"/>
        </w:rPr>
        <w:t>t</w:t>
      </w:r>
      <w:r w:rsidR="00B84109">
        <w:rPr>
          <w:szCs w:val="24"/>
        </w:rPr>
        <w:t xml:space="preserve">heology class and was dated December 9, 1955, </w:t>
      </w:r>
      <w:r w:rsidR="00C4498C">
        <w:rPr>
          <w:szCs w:val="24"/>
        </w:rPr>
        <w:t xml:space="preserve">almost </w:t>
      </w:r>
      <w:r w:rsidR="00B84109">
        <w:rPr>
          <w:szCs w:val="24"/>
        </w:rPr>
        <w:t>two years before I was born. The time frame indicates that it was written while he was attending McGill University</w:t>
      </w:r>
      <w:r w:rsidR="006517CE">
        <w:rPr>
          <w:szCs w:val="24"/>
        </w:rPr>
        <w:t xml:space="preserve">. </w:t>
      </w:r>
    </w:p>
    <w:p w:rsidR="00AA22CE" w:rsidRDefault="006517CE" w:rsidP="001D1114">
      <w:pPr>
        <w:tabs>
          <w:tab w:val="left" w:pos="720"/>
        </w:tabs>
        <w:spacing w:line="480" w:lineRule="auto"/>
        <w:contextualSpacing/>
        <w:rPr>
          <w:szCs w:val="24"/>
        </w:rPr>
      </w:pPr>
      <w:r>
        <w:rPr>
          <w:szCs w:val="24"/>
        </w:rPr>
        <w:tab/>
        <w:t>In this work my father (James Edward Morton) expresses two ideas, both of which I also ha</w:t>
      </w:r>
      <w:r w:rsidR="00196C6F">
        <w:rPr>
          <w:szCs w:val="24"/>
        </w:rPr>
        <w:t>ve also</w:t>
      </w:r>
      <w:r>
        <w:rPr>
          <w:szCs w:val="24"/>
        </w:rPr>
        <w:t xml:space="preserve"> </w:t>
      </w:r>
      <w:r w:rsidR="00FA34D5">
        <w:rPr>
          <w:szCs w:val="24"/>
        </w:rPr>
        <w:t>encountered</w:t>
      </w:r>
      <w:r>
        <w:rPr>
          <w:szCs w:val="24"/>
        </w:rPr>
        <w:t>. First, during the Middle Ages the state was, in essence, the secular arm of the church</w:t>
      </w:r>
      <w:r w:rsidR="003242B8">
        <w:rPr>
          <w:szCs w:val="24"/>
        </w:rPr>
        <w:t>. S</w:t>
      </w:r>
      <w:r>
        <w:rPr>
          <w:szCs w:val="24"/>
        </w:rPr>
        <w:t xml:space="preserve">econd, Martin Luther, whether </w:t>
      </w:r>
      <w:r w:rsidR="0090393C">
        <w:rPr>
          <w:szCs w:val="24"/>
        </w:rPr>
        <w:t>intentionally</w:t>
      </w:r>
      <w:r>
        <w:rPr>
          <w:szCs w:val="24"/>
        </w:rPr>
        <w:t xml:space="preserve"> or not, “put a weapon in the hands of the feudal lords of the Germanic area” to “[cast] off the bands of [the] church controled (sic) state.”</w:t>
      </w:r>
      <w:r w:rsidR="00C97446">
        <w:rPr>
          <w:rStyle w:val="FootnoteReference"/>
          <w:szCs w:val="24"/>
        </w:rPr>
        <w:footnoteReference w:id="1"/>
      </w:r>
      <w:r>
        <w:rPr>
          <w:szCs w:val="24"/>
        </w:rPr>
        <w:t xml:space="preserve"> While I did not define my thoughts in the same </w:t>
      </w:r>
      <w:r w:rsidR="00C97446">
        <w:rPr>
          <w:szCs w:val="24"/>
        </w:rPr>
        <w:t xml:space="preserve">exact </w:t>
      </w:r>
      <w:r>
        <w:rPr>
          <w:szCs w:val="24"/>
        </w:rPr>
        <w:t xml:space="preserve">terms, it is essentially the same </w:t>
      </w:r>
      <w:r w:rsidR="009A0112">
        <w:rPr>
          <w:szCs w:val="24"/>
        </w:rPr>
        <w:t>argument.</w:t>
      </w:r>
      <w:r w:rsidR="00C97446">
        <w:rPr>
          <w:szCs w:val="24"/>
        </w:rPr>
        <w:t xml:space="preserve"> </w:t>
      </w:r>
      <w:r w:rsidR="009A0112">
        <w:rPr>
          <w:szCs w:val="24"/>
        </w:rPr>
        <w:t>T</w:t>
      </w:r>
      <w:r w:rsidR="00C97446">
        <w:rPr>
          <w:szCs w:val="24"/>
        </w:rPr>
        <w:t>hough I would like to develop those concepts to a fuller extent, the scope of this work prevents me from doing so (I will save it for another project and another time)</w:t>
      </w:r>
      <w:r>
        <w:rPr>
          <w:szCs w:val="24"/>
        </w:rPr>
        <w:t xml:space="preserve">. </w:t>
      </w:r>
      <w:r w:rsidR="00C97446">
        <w:rPr>
          <w:szCs w:val="24"/>
        </w:rPr>
        <w:t xml:space="preserve">I have included </w:t>
      </w:r>
      <w:r w:rsidR="006600A0">
        <w:rPr>
          <w:szCs w:val="24"/>
        </w:rPr>
        <w:t>my father’s</w:t>
      </w:r>
      <w:r w:rsidR="00C97446">
        <w:rPr>
          <w:szCs w:val="24"/>
        </w:rPr>
        <w:t xml:space="preserve"> paper in Appendix A at the end of this work and in doing so accept the passing of the baton.</w:t>
      </w:r>
      <w:r w:rsidR="00AA22CE">
        <w:rPr>
          <w:szCs w:val="24"/>
        </w:rPr>
        <w:br w:type="page"/>
      </w:r>
    </w:p>
    <w:p w:rsidR="00AA22CE" w:rsidRDefault="00AA22CE" w:rsidP="001D1114">
      <w:pPr>
        <w:tabs>
          <w:tab w:val="left" w:pos="720"/>
        </w:tabs>
        <w:spacing w:line="480" w:lineRule="auto"/>
        <w:contextualSpacing/>
        <w:rPr>
          <w:szCs w:val="24"/>
        </w:rPr>
      </w:pPr>
    </w:p>
    <w:p w:rsidR="001D5164" w:rsidRPr="001D5164" w:rsidRDefault="001D5164" w:rsidP="001D1114">
      <w:pPr>
        <w:contextualSpacing/>
      </w:pPr>
    </w:p>
    <w:p w:rsidR="00F763AB" w:rsidRDefault="00FE4C33" w:rsidP="001D1114">
      <w:pPr>
        <w:tabs>
          <w:tab w:val="left" w:pos="720"/>
        </w:tabs>
        <w:spacing w:line="240" w:lineRule="auto"/>
        <w:contextualSpacing/>
        <w:jc w:val="center"/>
        <w:rPr>
          <w:b/>
          <w:u w:val="single"/>
        </w:rPr>
      </w:pPr>
      <w:r>
        <w:rPr>
          <w:b/>
          <w:u w:val="single"/>
        </w:rPr>
        <w:t>TABLE OF CONTENTS</w:t>
      </w:r>
    </w:p>
    <w:p w:rsidR="00FE4C33" w:rsidRDefault="00FE4C33" w:rsidP="001D1114">
      <w:pPr>
        <w:tabs>
          <w:tab w:val="left" w:pos="720"/>
        </w:tabs>
        <w:spacing w:line="240" w:lineRule="auto"/>
        <w:contextualSpacing/>
        <w:jc w:val="center"/>
      </w:pPr>
    </w:p>
    <w:p w:rsidR="00FE4C33" w:rsidRDefault="00FE4C33" w:rsidP="001D1114">
      <w:pPr>
        <w:tabs>
          <w:tab w:val="left" w:pos="720"/>
        </w:tabs>
        <w:spacing w:line="240" w:lineRule="auto"/>
        <w:contextualSpacing/>
        <w:jc w:val="center"/>
      </w:pPr>
    </w:p>
    <w:p w:rsidR="00FE4C33" w:rsidRDefault="00FE4C33" w:rsidP="001D1114">
      <w:pPr>
        <w:tabs>
          <w:tab w:val="left" w:pos="720"/>
        </w:tabs>
        <w:spacing w:line="240" w:lineRule="auto"/>
        <w:contextualSpacing/>
        <w:jc w:val="center"/>
      </w:pPr>
    </w:p>
    <w:p w:rsidR="00AA22CE" w:rsidRDefault="0067016E" w:rsidP="001D1114">
      <w:pPr>
        <w:tabs>
          <w:tab w:val="left" w:pos="720"/>
        </w:tabs>
        <w:spacing w:line="480" w:lineRule="auto"/>
        <w:contextualSpacing/>
        <w:jc w:val="both"/>
      </w:pPr>
      <w:r>
        <w:t>DEDICATION . . . . . . . . . . . . . . . . . . . . . . . . . . . . . . . . . . . . . . . . . . . . . . . . . . . . . . . . . . ii</w:t>
      </w:r>
      <w:r w:rsidR="004148B2">
        <w:t xml:space="preserve"> </w:t>
      </w:r>
      <w:r>
        <w:t>ACKNLOWLEDGEMENTS . . . . . . . . . . . . . . . . . . . . . . . . . . . . . . . . . . . . . . . . . . . . . . . iii</w:t>
      </w:r>
      <w:r w:rsidR="004148B2">
        <w:t xml:space="preserve"> </w:t>
      </w:r>
      <w:r>
        <w:t>ABSTRACT . . . . . . . . . . . . . . . . . . . . . . . . . . . . . . . . . . . . . . . . . . . . . . . . . . . . . . . . . . . . iv</w:t>
      </w:r>
      <w:r w:rsidR="004148B2">
        <w:t xml:space="preserve"> </w:t>
      </w:r>
    </w:p>
    <w:p w:rsidR="00AA22CE" w:rsidRDefault="00AA22CE" w:rsidP="001D1114">
      <w:pPr>
        <w:tabs>
          <w:tab w:val="left" w:pos="720"/>
        </w:tabs>
        <w:spacing w:line="480" w:lineRule="auto"/>
        <w:contextualSpacing/>
        <w:jc w:val="both"/>
      </w:pPr>
      <w:r>
        <w:t>PREFACE . . . . . . . . . . . . . . . . . . . . . . . . . . . . . . . . . . . . . . . . . . . . . . . . . . . . . . . . . . . . . . v</w:t>
      </w:r>
    </w:p>
    <w:p w:rsidR="00AC7F40" w:rsidRDefault="00AD7BF2" w:rsidP="001D1114">
      <w:pPr>
        <w:tabs>
          <w:tab w:val="left" w:pos="720"/>
        </w:tabs>
        <w:spacing w:line="480" w:lineRule="auto"/>
        <w:contextualSpacing/>
        <w:jc w:val="both"/>
      </w:pPr>
      <w:r>
        <w:t xml:space="preserve">TABLE OF CONTENTS . . . . . . . . . . . . . . . . . . . . . . . . . . . . . . . . . . . . . . . . . . . . . . </w:t>
      </w:r>
      <w:r w:rsidR="00AC7F40">
        <w:t>. . . vii</w:t>
      </w:r>
    </w:p>
    <w:p w:rsidR="00AC7F40" w:rsidRDefault="00AC7F40" w:rsidP="001D1114">
      <w:pPr>
        <w:tabs>
          <w:tab w:val="left" w:pos="720"/>
        </w:tabs>
        <w:spacing w:line="480" w:lineRule="auto"/>
        <w:contextualSpacing/>
        <w:jc w:val="both"/>
      </w:pPr>
      <w:r>
        <w:t>DEFINITIONS . . . . . . . . . . . . . . . . . . . . . . . . . . . . . . . . . . . . . . . . . . . . . . . . . . . . . . . . . viii</w:t>
      </w:r>
    </w:p>
    <w:p w:rsidR="004148B2" w:rsidRDefault="003242B8" w:rsidP="001D1114">
      <w:pPr>
        <w:tabs>
          <w:tab w:val="left" w:pos="720"/>
        </w:tabs>
        <w:spacing w:line="480" w:lineRule="auto"/>
        <w:contextualSpacing/>
        <w:jc w:val="both"/>
      </w:pPr>
      <w:r>
        <w:t xml:space="preserve">CHAPTER I: </w:t>
      </w:r>
      <w:r w:rsidR="00FE4C33">
        <w:t>INTRODUCTION . . . . . . . . . . . . . . . . . . . . . . . . . . . . . . . . . . . . . . . . . . .1</w:t>
      </w:r>
      <w:r w:rsidR="004148B2">
        <w:t xml:space="preserve"> </w:t>
      </w:r>
      <w:r w:rsidR="0067016E">
        <w:t xml:space="preserve">CHAPTER </w:t>
      </w:r>
      <w:r w:rsidR="009853CC">
        <w:t>I</w:t>
      </w:r>
      <w:r>
        <w:t>I</w:t>
      </w:r>
      <w:r w:rsidR="0067016E">
        <w:t>:</w:t>
      </w:r>
      <w:r w:rsidR="000F6F92" w:rsidRPr="000F6F92">
        <w:t xml:space="preserve"> </w:t>
      </w:r>
      <w:r w:rsidR="000F6F92">
        <w:t>JAMES MADISON AND THE ESTABLISHMENT CLAUSE</w:t>
      </w:r>
      <w:r w:rsidR="0067016E">
        <w:t xml:space="preserve"> . . . . . . . .</w:t>
      </w:r>
      <w:r w:rsidR="00A36FC6">
        <w:t>1</w:t>
      </w:r>
      <w:r w:rsidR="00D17AFB">
        <w:t>4</w:t>
      </w:r>
      <w:r w:rsidR="004148B2">
        <w:t xml:space="preserve"> </w:t>
      </w:r>
      <w:r w:rsidR="0067016E">
        <w:t xml:space="preserve">CHAPTER </w:t>
      </w:r>
      <w:r w:rsidR="009853CC">
        <w:t>II</w:t>
      </w:r>
      <w:r>
        <w:t>I</w:t>
      </w:r>
      <w:r w:rsidR="0067016E">
        <w:t>:</w:t>
      </w:r>
      <w:r w:rsidR="000F6F92" w:rsidRPr="000F6F92">
        <w:t xml:space="preserve"> </w:t>
      </w:r>
      <w:r w:rsidR="000F6F92">
        <w:t>CONFESSIONALISM</w:t>
      </w:r>
      <w:r w:rsidR="0067016E">
        <w:t xml:space="preserve">. . . . . . </w:t>
      </w:r>
      <w:r w:rsidR="000F6F92">
        <w:t xml:space="preserve">. . . . . . . . . . . . . . . . . . . . . . . . . . . . . </w:t>
      </w:r>
      <w:r w:rsidR="0067016E">
        <w:t>. .</w:t>
      </w:r>
      <w:r w:rsidR="00B53E9E">
        <w:t>4</w:t>
      </w:r>
      <w:r w:rsidR="003A6472">
        <w:t>1</w:t>
      </w:r>
      <w:r w:rsidR="004148B2">
        <w:t xml:space="preserve"> </w:t>
      </w:r>
      <w:r w:rsidR="0067016E">
        <w:t xml:space="preserve">CHAPTER </w:t>
      </w:r>
      <w:r w:rsidR="009853CC">
        <w:t>I</w:t>
      </w:r>
      <w:r>
        <w:t>V</w:t>
      </w:r>
      <w:r w:rsidR="0067016E">
        <w:t xml:space="preserve">: </w:t>
      </w:r>
      <w:bookmarkStart w:id="3" w:name="_Hlk503364880"/>
      <w:r w:rsidR="0067016E">
        <w:t xml:space="preserve">JUSTICE BLACK AND THE </w:t>
      </w:r>
      <w:r w:rsidR="0067016E" w:rsidRPr="00BC670B">
        <w:rPr>
          <w:i/>
        </w:rPr>
        <w:t>EVERSON</w:t>
      </w:r>
      <w:r w:rsidR="0067016E">
        <w:t xml:space="preserve"> DECISION </w:t>
      </w:r>
      <w:bookmarkEnd w:id="3"/>
      <w:r w:rsidR="0067016E">
        <w:t>. . . . . . . . . .</w:t>
      </w:r>
      <w:r w:rsidR="00D17AFB">
        <w:t xml:space="preserve"> 57</w:t>
      </w:r>
      <w:r w:rsidR="004148B2">
        <w:t xml:space="preserve"> </w:t>
      </w:r>
      <w:r w:rsidR="0067016E">
        <w:t xml:space="preserve">CONCLUSION </w:t>
      </w:r>
      <w:r>
        <w:t>AND AFTERWORDS</w:t>
      </w:r>
      <w:r w:rsidR="0067016E">
        <w:t>. . . . . . . . . . . . . . . . . . . . . . . . . . . . . . . . . . . . . . .</w:t>
      </w:r>
      <w:r w:rsidR="00D17AFB">
        <w:t>78</w:t>
      </w:r>
      <w:r w:rsidR="004148B2">
        <w:t xml:space="preserve"> BIBLIOGRAPHY. . . . . . . . . . . . . . . . . . . . . . . . . . . . . . . . . . . . . . . . . . . . . . . . . . . . . . . </w:t>
      </w:r>
      <w:r w:rsidR="009A6D5A">
        <w:t>8</w:t>
      </w:r>
      <w:r w:rsidR="00D17AFB">
        <w:t>1</w:t>
      </w:r>
    </w:p>
    <w:p w:rsidR="00C97446" w:rsidRDefault="00C97446" w:rsidP="001D1114">
      <w:pPr>
        <w:tabs>
          <w:tab w:val="left" w:pos="720"/>
        </w:tabs>
        <w:spacing w:line="480" w:lineRule="auto"/>
        <w:contextualSpacing/>
        <w:jc w:val="both"/>
      </w:pPr>
      <w:r>
        <w:t>APPENDIX A</w:t>
      </w:r>
      <w:r w:rsidR="00846AB0">
        <w:t>: Paper by James Edward Morton</w:t>
      </w:r>
      <w:r>
        <w:t xml:space="preserve"> . . . . . . . . . . . . . . . . . . . . . . . . . . . . . . . </w:t>
      </w:r>
      <w:r w:rsidR="00F92B89">
        <w:t>89</w:t>
      </w:r>
    </w:p>
    <w:p w:rsidR="00846AB0" w:rsidRDefault="00846AB0" w:rsidP="001D1114">
      <w:pPr>
        <w:tabs>
          <w:tab w:val="left" w:pos="720"/>
        </w:tabs>
        <w:spacing w:line="480" w:lineRule="auto"/>
        <w:contextualSpacing/>
        <w:jc w:val="both"/>
      </w:pPr>
      <w:r>
        <w:t xml:space="preserve">APPENDIX B: </w:t>
      </w:r>
      <w:r w:rsidRPr="00E05459">
        <w:rPr>
          <w:i/>
        </w:rPr>
        <w:t>A Memorial and Remonstrance</w:t>
      </w:r>
      <w:r>
        <w:t xml:space="preserve"> . . . . . . . . . . . . . . . . . . . . . . . . . . . . . . . </w:t>
      </w:r>
      <w:r w:rsidR="00E05459">
        <w:t>10</w:t>
      </w:r>
      <w:r w:rsidR="00F92B89">
        <w:t>5</w:t>
      </w:r>
    </w:p>
    <w:p w:rsidR="00846AB0" w:rsidRDefault="00846AB0" w:rsidP="00846AB0">
      <w:pPr>
        <w:tabs>
          <w:tab w:val="left" w:pos="720"/>
        </w:tabs>
        <w:spacing w:line="480" w:lineRule="auto"/>
        <w:contextualSpacing/>
        <w:jc w:val="both"/>
      </w:pPr>
      <w:r>
        <w:t xml:space="preserve">APPENDIX C: </w:t>
      </w:r>
      <w:r w:rsidRPr="00846AB0">
        <w:t>A Bill Establishing A Provision for Teachers of the Christian Religion.</w:t>
      </w:r>
      <w:r>
        <w:t xml:space="preserve"> </w:t>
      </w:r>
      <w:r w:rsidR="000F6116">
        <w:t>1</w:t>
      </w:r>
      <w:r w:rsidR="00A30FBE">
        <w:t>1</w:t>
      </w:r>
      <w:r w:rsidR="00F92B89">
        <w:t>4</w:t>
      </w:r>
    </w:p>
    <w:p w:rsidR="00433E9D" w:rsidRPr="00846AB0" w:rsidRDefault="000F6116" w:rsidP="00846AB0">
      <w:pPr>
        <w:tabs>
          <w:tab w:val="left" w:pos="720"/>
        </w:tabs>
        <w:spacing w:line="480" w:lineRule="auto"/>
        <w:contextualSpacing/>
        <w:jc w:val="both"/>
      </w:pPr>
      <w:r>
        <w:t>APPENDIX D: The First Amendment . . . . . . . . . . . . . . . . . . . . . . . . . . . . . . . . . . . . . . . 11</w:t>
      </w:r>
      <w:r w:rsidR="00F92B89">
        <w:t>7</w:t>
      </w:r>
    </w:p>
    <w:p w:rsidR="00846AB0" w:rsidRDefault="00846AB0" w:rsidP="001D1114">
      <w:pPr>
        <w:tabs>
          <w:tab w:val="left" w:pos="720"/>
        </w:tabs>
        <w:spacing w:line="480" w:lineRule="auto"/>
        <w:contextualSpacing/>
        <w:jc w:val="both"/>
      </w:pPr>
    </w:p>
    <w:p w:rsidR="00AC7F40" w:rsidRDefault="00AC7F40" w:rsidP="001D1114">
      <w:pPr>
        <w:tabs>
          <w:tab w:val="left" w:pos="720"/>
        </w:tabs>
        <w:spacing w:line="480" w:lineRule="auto"/>
        <w:contextualSpacing/>
        <w:jc w:val="both"/>
      </w:pPr>
    </w:p>
    <w:p w:rsidR="00AC7F40" w:rsidRDefault="00AC7F40" w:rsidP="001D1114">
      <w:pPr>
        <w:contextualSpacing/>
      </w:pPr>
      <w:r>
        <w:br w:type="page"/>
      </w:r>
    </w:p>
    <w:p w:rsidR="00AC7F40" w:rsidRDefault="00AC7F40" w:rsidP="001D1114">
      <w:pPr>
        <w:spacing w:line="240" w:lineRule="auto"/>
        <w:contextualSpacing/>
        <w:jc w:val="center"/>
        <w:rPr>
          <w:b/>
          <w:u w:val="single"/>
        </w:rPr>
      </w:pPr>
      <w:r>
        <w:rPr>
          <w:b/>
          <w:u w:val="single"/>
        </w:rPr>
        <w:lastRenderedPageBreak/>
        <w:t>DEFINITION</w:t>
      </w:r>
      <w:r w:rsidR="009853CC">
        <w:rPr>
          <w:b/>
          <w:u w:val="single"/>
        </w:rPr>
        <w:t xml:space="preserve"> OF TERMS</w:t>
      </w:r>
    </w:p>
    <w:p w:rsidR="00AC7F40" w:rsidRDefault="00AC7F40" w:rsidP="001D1114">
      <w:pPr>
        <w:spacing w:line="240" w:lineRule="auto"/>
        <w:contextualSpacing/>
        <w:jc w:val="center"/>
        <w:rPr>
          <w:b/>
          <w:u w:val="single"/>
        </w:rPr>
      </w:pPr>
    </w:p>
    <w:p w:rsidR="00AC7F40" w:rsidRDefault="00AC7F40" w:rsidP="001D1114">
      <w:pPr>
        <w:spacing w:line="240" w:lineRule="auto"/>
        <w:contextualSpacing/>
        <w:jc w:val="center"/>
        <w:rPr>
          <w:b/>
          <w:u w:val="single"/>
        </w:rPr>
      </w:pPr>
    </w:p>
    <w:p w:rsidR="00AC7F40" w:rsidRPr="00E8512F" w:rsidRDefault="00AC7F40" w:rsidP="001D1114">
      <w:pPr>
        <w:tabs>
          <w:tab w:val="left" w:pos="360"/>
        </w:tabs>
        <w:spacing w:line="480" w:lineRule="auto"/>
        <w:ind w:left="360" w:hanging="360"/>
        <w:contextualSpacing/>
      </w:pPr>
      <w:r>
        <w:rPr>
          <w:u w:val="single"/>
        </w:rPr>
        <w:t>Church:</w:t>
      </w:r>
      <w:r>
        <w:t xml:space="preserve"> During the early modern period, the church can generally be defined as the Catholic Church which is the institution headed by the Pope and administered by the Curia; however, even then there were many local forms of the Catholic </w:t>
      </w:r>
      <w:r w:rsidR="003242B8">
        <w:t>C</w:t>
      </w:r>
      <w:r>
        <w:t xml:space="preserve">hurch in various localities. As such there were a broad array of doctrines and local customs </w:t>
      </w:r>
      <w:r w:rsidR="00FA34D5">
        <w:t>that</w:t>
      </w:r>
      <w:r>
        <w:t xml:space="preserve"> fell under the umbrella of the Catholic </w:t>
      </w:r>
      <w:r w:rsidR="003242B8">
        <w:t>Church</w:t>
      </w:r>
      <w:r>
        <w:t xml:space="preserve">. In post-Reformation times, the church most likely referred to whichever confession one belonged to, though in broader terms it still referred to the Catholic </w:t>
      </w:r>
      <w:r w:rsidR="003242B8">
        <w:t>Church</w:t>
      </w:r>
      <w:r>
        <w:t xml:space="preserve">. Later, in England, the church was the Anglican </w:t>
      </w:r>
      <w:r w:rsidR="003242B8">
        <w:t>Church</w:t>
      </w:r>
      <w:r w:rsidR="00FA34D5">
        <w:t>,</w:t>
      </w:r>
      <w:r>
        <w:t xml:space="preserve"> or the </w:t>
      </w:r>
      <w:r w:rsidR="003242B8">
        <w:t>Church</w:t>
      </w:r>
      <w:r>
        <w:t xml:space="preserve"> of England. In modern times, church means the conglomerate of all religious organizations that are nominally called Christian churches and is used as a contrast to the state which refers to government: state, local, or federal. </w:t>
      </w:r>
      <w:r w:rsidR="002A7B39">
        <w:t>At still other times</w:t>
      </w:r>
      <w:r w:rsidR="00FA34D5">
        <w:t>,</w:t>
      </w:r>
      <w:r w:rsidR="002A7B39">
        <w:t xml:space="preserve"> the term </w:t>
      </w:r>
      <w:r w:rsidR="007A32E1">
        <w:t>c</w:t>
      </w:r>
      <w:r w:rsidR="002A7B39">
        <w:t xml:space="preserve">atholic </w:t>
      </w:r>
      <w:r w:rsidR="003B753C">
        <w:t>c</w:t>
      </w:r>
      <w:r w:rsidR="002A7B39">
        <w:t xml:space="preserve">hurch refers to the church universally and in some of the founder’s documents is referred to as such. </w:t>
      </w:r>
      <w:r>
        <w:t>Defining the term “church” therefore requires context as to time frame and who is being discussed</w:t>
      </w:r>
      <w:r w:rsidR="002A7B39">
        <w:t xml:space="preserve"> and who is doing the discussing</w:t>
      </w:r>
      <w:r>
        <w:t>.</w:t>
      </w:r>
      <w:r>
        <w:rPr>
          <w:rStyle w:val="FootnoteReference"/>
        </w:rPr>
        <w:footnoteReference w:id="2"/>
      </w:r>
      <w:r w:rsidR="00527419">
        <w:t xml:space="preserve"> Within this thesis, that context is dependent on which chapter </w:t>
      </w:r>
      <w:r w:rsidR="00FA34D5">
        <w:t xml:space="preserve">in which </w:t>
      </w:r>
      <w:r w:rsidR="00527419">
        <w:t>the term is used. For example, in 1947 “church” generally meant the broad panacea of religion as opposed to civil authority. However, if the “church” is referred to in the Reformation chapter, the term most likely refers to the Catholic Church as understood in that time period.</w:t>
      </w:r>
    </w:p>
    <w:p w:rsidR="00AC7F40" w:rsidRPr="00EF1427" w:rsidRDefault="00AC7F40" w:rsidP="001D1114">
      <w:pPr>
        <w:tabs>
          <w:tab w:val="left" w:pos="360"/>
        </w:tabs>
        <w:spacing w:line="480" w:lineRule="auto"/>
        <w:ind w:left="360" w:hanging="360"/>
        <w:contextualSpacing/>
      </w:pPr>
      <w:r w:rsidRPr="00EF1427">
        <w:rPr>
          <w:u w:val="single"/>
        </w:rPr>
        <w:lastRenderedPageBreak/>
        <w:t>Confessional Identity:</w:t>
      </w:r>
      <w:r w:rsidRPr="00EF1427">
        <w:t xml:space="preserve">  T</w:t>
      </w:r>
      <w:r w:rsidR="001F50BE">
        <w:t xml:space="preserve">o </w:t>
      </w:r>
      <w:r w:rsidRPr="00EF1427">
        <w:t>define oneself through identification</w:t>
      </w:r>
      <w:r>
        <w:t xml:space="preserve"> with a specific confessional doctrine</w:t>
      </w:r>
      <w:r w:rsidRPr="00EF1427">
        <w:t xml:space="preserve">, especially in opposition to </w:t>
      </w:r>
      <w:r w:rsidR="001F50BE">
        <w:t>the doctrine</w:t>
      </w:r>
      <w:r w:rsidRPr="00EF1427">
        <w:t xml:space="preserve"> of opposing </w:t>
      </w:r>
      <w:r w:rsidR="001F50BE">
        <w:t>confessions</w:t>
      </w:r>
      <w:r w:rsidRPr="00EF1427">
        <w:t xml:space="preserve">. </w:t>
      </w:r>
    </w:p>
    <w:p w:rsidR="00AC7F40" w:rsidRDefault="00AC7F40" w:rsidP="001D1114">
      <w:pPr>
        <w:tabs>
          <w:tab w:val="left" w:pos="360"/>
        </w:tabs>
        <w:spacing w:line="480" w:lineRule="auto"/>
        <w:ind w:left="360" w:hanging="360"/>
        <w:contextualSpacing/>
      </w:pPr>
      <w:r w:rsidRPr="004D3437">
        <w:rPr>
          <w:u w:val="single"/>
        </w:rPr>
        <w:t>Confessionalism</w:t>
      </w:r>
      <w:r>
        <w:t>: “The development of religious ideals, dogmas, and institutions among the various major forms of Christianity, the purpose of which was to create a unified identity within the various groups.”</w:t>
      </w:r>
      <w:r>
        <w:rPr>
          <w:rStyle w:val="FootnoteReference"/>
        </w:rPr>
        <w:footnoteReference w:id="3"/>
      </w:r>
      <w:r>
        <w:t xml:space="preserve"> </w:t>
      </w:r>
    </w:p>
    <w:p w:rsidR="00AC7F40" w:rsidRDefault="00AC7F40" w:rsidP="001D1114">
      <w:pPr>
        <w:tabs>
          <w:tab w:val="left" w:pos="360"/>
        </w:tabs>
        <w:spacing w:line="480" w:lineRule="auto"/>
        <w:ind w:left="360" w:hanging="360"/>
        <w:contextualSpacing/>
      </w:pPr>
      <w:r w:rsidRPr="00601233">
        <w:rPr>
          <w:u w:val="single"/>
        </w:rPr>
        <w:t>Confessionalization</w:t>
      </w:r>
      <w:r>
        <w:t>: Is the process by which the “burgeoning power of the early modern state (</w:t>
      </w:r>
      <w:bookmarkStart w:id="4" w:name="_Hlk494825888"/>
      <w:r>
        <w:rPr>
          <w:i/>
        </w:rPr>
        <w:t>cuius regio, euis religio</w:t>
      </w:r>
      <w:bookmarkEnd w:id="4"/>
      <w:r>
        <w:rPr>
          <w:i/>
        </w:rPr>
        <w:t>)</w:t>
      </w:r>
      <w:r>
        <w:t xml:space="preserve">,” the imposition of </w:t>
      </w:r>
      <w:r w:rsidR="0030629C">
        <w:t>‘</w:t>
      </w:r>
      <w:r>
        <w:t>social discipline</w:t>
      </w:r>
      <w:r w:rsidR="0030629C">
        <w:t>’</w:t>
      </w:r>
      <w:r>
        <w:t xml:space="preserve"> (the pressure from the social group on an individual to conform to the accepted confessional identity by regulating various aspects of their life), and the “formation of confessional churches transformed society.”</w:t>
      </w:r>
      <w:r>
        <w:rPr>
          <w:rStyle w:val="FootnoteReference"/>
        </w:rPr>
        <w:footnoteReference w:id="4"/>
      </w:r>
    </w:p>
    <w:p w:rsidR="00AC7F40" w:rsidRDefault="00AC7F40" w:rsidP="001D1114">
      <w:pPr>
        <w:tabs>
          <w:tab w:val="left" w:pos="360"/>
        </w:tabs>
        <w:spacing w:line="480" w:lineRule="auto"/>
        <w:ind w:left="360" w:hanging="360"/>
        <w:contextualSpacing/>
      </w:pPr>
      <w:r w:rsidRPr="00EF1427">
        <w:rPr>
          <w:i/>
          <w:u w:val="single"/>
        </w:rPr>
        <w:t>Cuius regio, euis religio:</w:t>
      </w:r>
      <w:r w:rsidRPr="00EF1427">
        <w:t xml:space="preserve"> Whose region, his religion.</w:t>
      </w:r>
      <w:r w:rsidRPr="00EF1427">
        <w:rPr>
          <w:vertAlign w:val="superscript"/>
        </w:rPr>
        <w:footnoteReference w:id="5"/>
      </w:r>
      <w:r>
        <w:t xml:space="preserve"> The phrase is the essence of the Peace of Augsburg of 1555 in which it was decided that the princes were allowed to decide which confessional church was the official one for their territory.</w:t>
      </w:r>
    </w:p>
    <w:p w:rsidR="00AC7F40" w:rsidRPr="00CC3FBD" w:rsidRDefault="00AC7F40" w:rsidP="001D1114">
      <w:pPr>
        <w:tabs>
          <w:tab w:val="left" w:pos="360"/>
        </w:tabs>
        <w:spacing w:line="480" w:lineRule="auto"/>
        <w:ind w:left="360" w:hanging="360"/>
        <w:contextualSpacing/>
        <w:rPr>
          <w:u w:val="single"/>
        </w:rPr>
      </w:pPr>
      <w:r w:rsidRPr="00CC3FBD">
        <w:rPr>
          <w:u w:val="single"/>
        </w:rPr>
        <w:t>Curia</w:t>
      </w:r>
      <w:r w:rsidRPr="00CC3FBD">
        <w:t>: The Papal court and its functionaries, especially those through whom the government of the R</w:t>
      </w:r>
      <w:r>
        <w:t xml:space="preserve">oman </w:t>
      </w:r>
      <w:r w:rsidRPr="00CC3FBD">
        <w:t>C</w:t>
      </w:r>
      <w:r>
        <w:t>atholic</w:t>
      </w:r>
      <w:r w:rsidRPr="00CC3FBD">
        <w:t xml:space="preserve"> Church is administered.</w:t>
      </w:r>
      <w:r>
        <w:rPr>
          <w:rStyle w:val="FootnoteReference"/>
        </w:rPr>
        <w:footnoteReference w:id="6"/>
      </w:r>
    </w:p>
    <w:p w:rsidR="00AC7F40" w:rsidRDefault="00AC7F40" w:rsidP="001D1114">
      <w:pPr>
        <w:tabs>
          <w:tab w:val="left" w:pos="360"/>
        </w:tabs>
        <w:spacing w:line="480" w:lineRule="auto"/>
        <w:ind w:left="360" w:hanging="360"/>
        <w:contextualSpacing/>
      </w:pPr>
      <w:r w:rsidRPr="00EF1427">
        <w:rPr>
          <w:u w:val="single"/>
        </w:rPr>
        <w:t>Diachronic</w:t>
      </w:r>
      <w:r w:rsidRPr="00EF1427">
        <w:t>: Research concerned with the way in which something has developed and evolved through time.</w:t>
      </w:r>
      <w:r w:rsidRPr="00EF1427">
        <w:rPr>
          <w:vertAlign w:val="superscript"/>
        </w:rPr>
        <w:footnoteReference w:id="7"/>
      </w:r>
    </w:p>
    <w:p w:rsidR="00AC7F40" w:rsidRDefault="00AC7F40" w:rsidP="001D1114">
      <w:pPr>
        <w:tabs>
          <w:tab w:val="left" w:pos="360"/>
        </w:tabs>
        <w:spacing w:line="480" w:lineRule="auto"/>
        <w:ind w:left="360" w:hanging="360"/>
        <w:contextualSpacing/>
      </w:pPr>
      <w:r w:rsidRPr="009D34AB">
        <w:rPr>
          <w:u w:val="single"/>
        </w:rPr>
        <w:lastRenderedPageBreak/>
        <w:t>Eucharist</w:t>
      </w:r>
      <w:r>
        <w:t>: The Catholic version of what Protestant churches call communion, it is the remembrance of the last supper where Christ shares the bread and wine with the disciples. Under Catholic doctrine, the bread and wine becomes the body of Christ</w:t>
      </w:r>
      <w:r w:rsidR="00FA34D5">
        <w:t xml:space="preserve"> (see Transubstantiation). I</w:t>
      </w:r>
      <w:r>
        <w:t>n Protestant doctrine it simply represents the body and blood.</w:t>
      </w:r>
    </w:p>
    <w:p w:rsidR="00537E1E" w:rsidRDefault="00537E1E" w:rsidP="001D1114">
      <w:pPr>
        <w:tabs>
          <w:tab w:val="left" w:pos="360"/>
        </w:tabs>
        <w:spacing w:line="480" w:lineRule="auto"/>
        <w:ind w:left="360" w:hanging="360"/>
        <w:contextualSpacing/>
      </w:pPr>
      <w:r w:rsidRPr="00537E1E">
        <w:rPr>
          <w:u w:val="single"/>
        </w:rPr>
        <w:t>Faction:</w:t>
      </w:r>
      <w:r w:rsidRPr="00537E1E">
        <w:t xml:space="preserve"> as</w:t>
      </w:r>
      <w:r>
        <w:t xml:space="preserve"> defined by James Madison:</w:t>
      </w:r>
      <w:r w:rsidRPr="00537E1E">
        <w:t xml:space="preserve"> “a number of citizens, whether amounting to a majority or a minority of the whole, who are united and actuated by some common impulse of passion, or of interest, adversed (sic) to the rights of other citizens, or to the permanent and aggregate interests of the community.”</w:t>
      </w:r>
      <w:r w:rsidRPr="00537E1E">
        <w:rPr>
          <w:vertAlign w:val="superscript"/>
        </w:rPr>
        <w:footnoteReference w:id="8"/>
      </w:r>
    </w:p>
    <w:p w:rsidR="00AC7F40" w:rsidRDefault="00AC7F40" w:rsidP="001D1114">
      <w:pPr>
        <w:tabs>
          <w:tab w:val="left" w:pos="360"/>
        </w:tabs>
        <w:spacing w:line="480" w:lineRule="auto"/>
        <w:ind w:left="360" w:hanging="360"/>
        <w:contextualSpacing/>
      </w:pPr>
      <w:r w:rsidRPr="00EF1427">
        <w:rPr>
          <w:u w:val="single"/>
        </w:rPr>
        <w:t>Founding Father</w:t>
      </w:r>
      <w:r w:rsidRPr="00EF1427">
        <w:t xml:space="preserve">: Any person </w:t>
      </w:r>
      <w:r w:rsidR="00FA34D5">
        <w:t>who</w:t>
      </w:r>
      <w:r w:rsidRPr="00EF1427">
        <w:t xml:space="preserve"> was important to the inception and establishment of the United States as a nation, especially those who were involved in the crafting of the founding documents. </w:t>
      </w:r>
    </w:p>
    <w:p w:rsidR="008D6624" w:rsidRDefault="008D6624" w:rsidP="001D1114">
      <w:pPr>
        <w:tabs>
          <w:tab w:val="left" w:pos="360"/>
        </w:tabs>
        <w:spacing w:line="480" w:lineRule="auto"/>
        <w:ind w:left="360" w:hanging="360"/>
        <w:contextualSpacing/>
      </w:pPr>
      <w:r>
        <w:rPr>
          <w:u w:val="single"/>
        </w:rPr>
        <w:t>Freedom of conscience:</w:t>
      </w:r>
      <w:r w:rsidRPr="00EE03D6">
        <w:t xml:space="preserve"> </w:t>
      </w:r>
      <w:r w:rsidR="00EE03D6" w:rsidRPr="00EE03D6">
        <w:t>Religious freedom</w:t>
      </w:r>
      <w:r w:rsidR="00EE03D6">
        <w:t>, the freedom to choose what form, sect, or religion one will adhere to.</w:t>
      </w:r>
    </w:p>
    <w:p w:rsidR="00AC7F40" w:rsidRPr="00C8627B" w:rsidRDefault="00AC7F40" w:rsidP="001D1114">
      <w:pPr>
        <w:tabs>
          <w:tab w:val="left" w:pos="360"/>
        </w:tabs>
        <w:spacing w:line="480" w:lineRule="auto"/>
        <w:ind w:left="360" w:hanging="360"/>
        <w:contextualSpacing/>
      </w:pPr>
      <w:r w:rsidRPr="00C8627B">
        <w:rPr>
          <w:u w:val="single"/>
        </w:rPr>
        <w:t>Heresy</w:t>
      </w:r>
      <w:r>
        <w:rPr>
          <w:u w:val="single"/>
        </w:rPr>
        <w:t>:</w:t>
      </w:r>
      <w:r>
        <w:t xml:space="preserve"> A belief contrary to the official orthodox doctrine of a particular religion.</w:t>
      </w:r>
    </w:p>
    <w:p w:rsidR="00AC7F40" w:rsidRDefault="00AC7F40" w:rsidP="001D1114">
      <w:pPr>
        <w:tabs>
          <w:tab w:val="left" w:pos="360"/>
        </w:tabs>
        <w:spacing w:line="480" w:lineRule="auto"/>
        <w:ind w:left="360" w:hanging="360"/>
        <w:contextualSpacing/>
      </w:pPr>
      <w:r w:rsidRPr="004D3437">
        <w:rPr>
          <w:u w:val="single"/>
        </w:rPr>
        <w:t>Historiography</w:t>
      </w:r>
      <w:r>
        <w:t>: The scholarly body of work on a given subject by those historians relevant to the field. It is best viewed in terms of a conversation where each historian adds something to the general conversation.</w:t>
      </w:r>
    </w:p>
    <w:p w:rsidR="00AC7F40" w:rsidRDefault="00AC7F40" w:rsidP="001D1114">
      <w:pPr>
        <w:tabs>
          <w:tab w:val="left" w:pos="360"/>
        </w:tabs>
        <w:spacing w:line="480" w:lineRule="auto"/>
        <w:ind w:left="360" w:hanging="360"/>
        <w:contextualSpacing/>
      </w:pPr>
      <w:r w:rsidRPr="00B63643">
        <w:rPr>
          <w:u w:val="single"/>
        </w:rPr>
        <w:t>Huguenots</w:t>
      </w:r>
      <w:r>
        <w:t>: French Protestants from the early modern period who followed the teachings of John Calvin.</w:t>
      </w:r>
    </w:p>
    <w:p w:rsidR="00AF3DE6" w:rsidRDefault="00AF3DE6" w:rsidP="001D1114">
      <w:pPr>
        <w:tabs>
          <w:tab w:val="left" w:pos="360"/>
        </w:tabs>
        <w:spacing w:line="480" w:lineRule="auto"/>
        <w:ind w:left="360" w:hanging="360"/>
        <w:contextualSpacing/>
      </w:pPr>
      <w:r w:rsidRPr="00AF3DE6">
        <w:rPr>
          <w:u w:val="single"/>
        </w:rPr>
        <w:lastRenderedPageBreak/>
        <w:t>Incorporation Doctrine</w:t>
      </w:r>
      <w:r>
        <w:t>: “A</w:t>
      </w:r>
      <w:r w:rsidRPr="00AF3DE6">
        <w:t xml:space="preserve"> constitutional doctrine through which the first ten amendments of the United States Constitution (known as the Bill of Rights) are made applicable to the states through the Due Process clause of the Fourteenth Amendment</w:t>
      </w:r>
      <w:r>
        <w:t>.”</w:t>
      </w:r>
      <w:r>
        <w:rPr>
          <w:rStyle w:val="FootnoteReference"/>
        </w:rPr>
        <w:footnoteReference w:id="9"/>
      </w:r>
    </w:p>
    <w:p w:rsidR="00D37D46" w:rsidRPr="00D37D46" w:rsidRDefault="00D37D46" w:rsidP="001D1114">
      <w:pPr>
        <w:tabs>
          <w:tab w:val="left" w:pos="360"/>
        </w:tabs>
        <w:spacing w:line="480" w:lineRule="auto"/>
        <w:ind w:left="360" w:hanging="360"/>
        <w:contextualSpacing/>
      </w:pPr>
      <w:r>
        <w:rPr>
          <w:u w:val="single"/>
        </w:rPr>
        <w:t>I</w:t>
      </w:r>
      <w:r w:rsidRPr="00D37D46">
        <w:rPr>
          <w:u w:val="single"/>
        </w:rPr>
        <w:t>ndulgences</w:t>
      </w:r>
      <w:r>
        <w:rPr>
          <w:u w:val="single"/>
        </w:rPr>
        <w:t>:</w:t>
      </w:r>
      <w:r>
        <w:t xml:space="preserve"> </w:t>
      </w:r>
      <w:r w:rsidR="00C01BCD">
        <w:t>The concept in the Catholic Church that one could do something, usually donate money, to expiate the punishment for sin.</w:t>
      </w:r>
    </w:p>
    <w:p w:rsidR="00AC7F40" w:rsidRDefault="00AC7F40" w:rsidP="001D1114">
      <w:pPr>
        <w:tabs>
          <w:tab w:val="left" w:pos="360"/>
        </w:tabs>
        <w:spacing w:line="480" w:lineRule="auto"/>
        <w:ind w:left="360" w:hanging="360"/>
        <w:contextualSpacing/>
      </w:pPr>
      <w:r w:rsidRPr="00FE3C25">
        <w:rPr>
          <w:u w:val="single"/>
        </w:rPr>
        <w:t>Laity</w:t>
      </w:r>
      <w:r>
        <w:rPr>
          <w:u w:val="single"/>
        </w:rPr>
        <w:t>:</w:t>
      </w:r>
      <w:r>
        <w:t xml:space="preserve"> Church members or parishioners.</w:t>
      </w:r>
    </w:p>
    <w:p w:rsidR="008D6624" w:rsidRDefault="008D6624" w:rsidP="00AF3DE6">
      <w:pPr>
        <w:tabs>
          <w:tab w:val="left" w:pos="360"/>
        </w:tabs>
        <w:spacing w:line="480" w:lineRule="auto"/>
        <w:ind w:left="360" w:hanging="360"/>
        <w:contextualSpacing/>
      </w:pPr>
      <w:r>
        <w:rPr>
          <w:u w:val="single"/>
        </w:rPr>
        <w:t>Liberty:</w:t>
      </w:r>
      <w:r>
        <w:t xml:space="preserve"> </w:t>
      </w:r>
      <w:r w:rsidR="00D21AC4" w:rsidRPr="00D21AC4">
        <w:t xml:space="preserve">Freedom from restraint, in a general sense, and applicable to the body, or to the will or mind. </w:t>
      </w:r>
      <w:r w:rsidR="00D21AC4">
        <w:t>T</w:t>
      </w:r>
      <w:r w:rsidR="00D21AC4" w:rsidRPr="00D21AC4">
        <w:t>he power of acting as one thinks fit, without any restraint or control, except</w:t>
      </w:r>
      <w:r w:rsidR="00D21AC4">
        <w:t xml:space="preserve"> </w:t>
      </w:r>
      <w:r w:rsidR="00D21AC4" w:rsidRPr="00D21AC4">
        <w:t>as is necessary and expedient for the safety and interest of the society, state or nation.</w:t>
      </w:r>
      <w:r w:rsidR="00D21AC4">
        <w:rPr>
          <w:rStyle w:val="FootnoteReference"/>
        </w:rPr>
        <w:footnoteReference w:id="10"/>
      </w:r>
      <w:r w:rsidR="00D21AC4" w:rsidRPr="00D21AC4">
        <w:t xml:space="preserve"> </w:t>
      </w:r>
    </w:p>
    <w:p w:rsidR="00DF1932" w:rsidRDefault="00DF1932" w:rsidP="001D1114">
      <w:pPr>
        <w:tabs>
          <w:tab w:val="left" w:pos="360"/>
        </w:tabs>
        <w:spacing w:line="480" w:lineRule="auto"/>
        <w:ind w:left="360" w:hanging="360"/>
        <w:contextualSpacing/>
      </w:pPr>
      <w:r>
        <w:rPr>
          <w:u w:val="single"/>
        </w:rPr>
        <w:t>Originalism:</w:t>
      </w:r>
      <w:r>
        <w:t xml:space="preserve"> The attempt to interpret the Constitution in line with what was meant at the time that the Constitution was drafted. There are two forms of originalism. First is original intent</w:t>
      </w:r>
      <w:r w:rsidR="00563B73">
        <w:t xml:space="preserve">, </w:t>
      </w:r>
      <w:r w:rsidR="006600A0">
        <w:t xml:space="preserve">or </w:t>
      </w:r>
      <w:r w:rsidR="00563B73">
        <w:t>what the founders intended to accomplish through the Constitution and the second is original meaning, interpreting what the words actually meant at the time.</w:t>
      </w:r>
      <w:r w:rsidR="00563B73">
        <w:rPr>
          <w:rStyle w:val="FootnoteReference"/>
        </w:rPr>
        <w:footnoteReference w:id="11"/>
      </w:r>
      <w:r w:rsidR="00563B73">
        <w:t xml:space="preserve"> </w:t>
      </w:r>
    </w:p>
    <w:p w:rsidR="00AC7F40" w:rsidRPr="00FE3C25" w:rsidRDefault="00AC7F40" w:rsidP="001D1114">
      <w:pPr>
        <w:tabs>
          <w:tab w:val="left" w:pos="360"/>
        </w:tabs>
        <w:spacing w:line="480" w:lineRule="auto"/>
        <w:ind w:left="360" w:hanging="360"/>
        <w:contextualSpacing/>
      </w:pPr>
      <w:r>
        <w:rPr>
          <w:u w:val="single"/>
        </w:rPr>
        <w:t>Orthodox:</w:t>
      </w:r>
      <w:r>
        <w:t xml:space="preserve"> The officially approved doctrine of the various confessional churches.</w:t>
      </w:r>
    </w:p>
    <w:p w:rsidR="00AC7F40" w:rsidRDefault="00AC7F40" w:rsidP="001D1114">
      <w:pPr>
        <w:tabs>
          <w:tab w:val="left" w:pos="360"/>
        </w:tabs>
        <w:spacing w:line="480" w:lineRule="auto"/>
        <w:ind w:left="360" w:hanging="360"/>
        <w:contextualSpacing/>
      </w:pPr>
      <w:r>
        <w:rPr>
          <w:u w:val="single"/>
        </w:rPr>
        <w:t>R</w:t>
      </w:r>
      <w:r w:rsidRPr="00771CAE">
        <w:rPr>
          <w:u w:val="single"/>
        </w:rPr>
        <w:t>adical millenarians</w:t>
      </w:r>
      <w:r>
        <w:rPr>
          <w:u w:val="single"/>
        </w:rPr>
        <w:t>:</w:t>
      </w:r>
      <w:r>
        <w:t xml:space="preserve"> T</w:t>
      </w:r>
      <w:r w:rsidRPr="00771CAE">
        <w:t>hose who were convinced of the imminent return of Jesus Christ and also convinced that they were the ones who needed to prepare the world for His return</w:t>
      </w:r>
      <w:r>
        <w:t xml:space="preserve"> by whatever means, violent or otherwise, they deemed necessary</w:t>
      </w:r>
      <w:r w:rsidRPr="00771CAE">
        <w:t>.</w:t>
      </w:r>
    </w:p>
    <w:p w:rsidR="008D6624" w:rsidRDefault="008D6624" w:rsidP="001D1114">
      <w:pPr>
        <w:tabs>
          <w:tab w:val="left" w:pos="360"/>
        </w:tabs>
        <w:spacing w:line="480" w:lineRule="auto"/>
        <w:ind w:left="360" w:hanging="360"/>
        <w:contextualSpacing/>
      </w:pPr>
      <w:r>
        <w:rPr>
          <w:u w:val="single"/>
        </w:rPr>
        <w:lastRenderedPageBreak/>
        <w:t>Republican</w:t>
      </w:r>
      <w:r w:rsidR="004B0C26">
        <w:rPr>
          <w:u w:val="single"/>
        </w:rPr>
        <w:t xml:space="preserve"> form of government</w:t>
      </w:r>
      <w:r>
        <w:rPr>
          <w:u w:val="single"/>
        </w:rPr>
        <w:t>:</w:t>
      </w:r>
      <w:r>
        <w:t xml:space="preserve"> </w:t>
      </w:r>
      <w:r w:rsidR="00EE03D6">
        <w:t>A form of government where power resides in the people who elect representatives who then administer the affairs of government.</w:t>
      </w:r>
    </w:p>
    <w:p w:rsidR="00AC7F40" w:rsidRDefault="00AC7F40" w:rsidP="001D1114">
      <w:pPr>
        <w:tabs>
          <w:tab w:val="left" w:pos="360"/>
        </w:tabs>
        <w:spacing w:line="480" w:lineRule="auto"/>
        <w:ind w:left="360" w:hanging="360"/>
        <w:contextualSpacing/>
      </w:pPr>
      <w:r>
        <w:rPr>
          <w:u w:val="single"/>
        </w:rPr>
        <w:t xml:space="preserve">Synchronic: </w:t>
      </w:r>
      <w:r w:rsidRPr="00B31F41">
        <w:t>Research</w:t>
      </w:r>
      <w:r>
        <w:t xml:space="preserve"> con</w:t>
      </w:r>
      <w:r w:rsidRPr="00F52E0B">
        <w:t>cerned with s</w:t>
      </w:r>
      <w:r>
        <w:t>omething</w:t>
      </w:r>
      <w:r w:rsidRPr="00F52E0B">
        <w:t xml:space="preserve"> as it exists at one point in time</w:t>
      </w:r>
      <w:r>
        <w:t>.</w:t>
      </w:r>
      <w:r>
        <w:rPr>
          <w:rStyle w:val="FootnoteReference"/>
        </w:rPr>
        <w:footnoteReference w:id="12"/>
      </w:r>
    </w:p>
    <w:p w:rsidR="00D306EC" w:rsidRDefault="00D306EC" w:rsidP="001D1114">
      <w:pPr>
        <w:tabs>
          <w:tab w:val="left" w:pos="360"/>
        </w:tabs>
        <w:spacing w:line="480" w:lineRule="auto"/>
        <w:ind w:left="360" w:hanging="360"/>
        <w:contextualSpacing/>
      </w:pPr>
      <w:r>
        <w:rPr>
          <w:u w:val="single"/>
        </w:rPr>
        <w:t>Textualism:</w:t>
      </w:r>
      <w:r>
        <w:t xml:space="preserve"> Strict adherence to a text. In legal terms it is, in interpreting a legal text, adherence to the words of that document, as they are commonly understood.</w:t>
      </w:r>
      <w:r w:rsidR="00755CB0">
        <w:rPr>
          <w:rStyle w:val="FootnoteReference"/>
        </w:rPr>
        <w:footnoteReference w:id="13"/>
      </w:r>
    </w:p>
    <w:p w:rsidR="00476293" w:rsidRDefault="00AC7F40" w:rsidP="001D1114">
      <w:pPr>
        <w:tabs>
          <w:tab w:val="left" w:pos="360"/>
        </w:tabs>
        <w:spacing w:line="480" w:lineRule="auto"/>
        <w:ind w:left="360" w:hanging="360"/>
        <w:contextualSpacing/>
        <w:sectPr w:rsidR="00476293" w:rsidSect="0024795F">
          <w:footerReference w:type="default" r:id="rId9"/>
          <w:footnotePr>
            <w:numRestart w:val="eachSect"/>
          </w:footnotePr>
          <w:pgSz w:w="12240" w:h="15840"/>
          <w:pgMar w:top="1440" w:right="1440" w:bottom="1440" w:left="2160" w:header="720" w:footer="1008" w:gutter="0"/>
          <w:pgNumType w:fmt="lowerRoman" w:start="1"/>
          <w:cols w:space="720"/>
          <w:titlePg/>
          <w:docGrid w:linePitch="360"/>
        </w:sectPr>
      </w:pPr>
      <w:r>
        <w:rPr>
          <w:u w:val="single"/>
        </w:rPr>
        <w:t>T</w:t>
      </w:r>
      <w:r w:rsidRPr="009D34AB">
        <w:rPr>
          <w:u w:val="single"/>
        </w:rPr>
        <w:t>ransubstantiation</w:t>
      </w:r>
      <w:r>
        <w:t xml:space="preserve">: A belief of the Catholic Church where the </w:t>
      </w:r>
      <w:bookmarkStart w:id="6" w:name="_Hlk513797408"/>
      <w:r>
        <w:t>Eucharist</w:t>
      </w:r>
      <w:bookmarkEnd w:id="6"/>
      <w:r>
        <w:t xml:space="preserve"> actually becomes the body and blood of Chris</w:t>
      </w:r>
      <w:r w:rsidR="00476293">
        <w:t>t.</w:t>
      </w:r>
    </w:p>
    <w:p w:rsidR="00724926" w:rsidRDefault="00724926" w:rsidP="00476293">
      <w:pPr>
        <w:tabs>
          <w:tab w:val="left" w:pos="720"/>
        </w:tabs>
        <w:spacing w:line="240" w:lineRule="auto"/>
        <w:contextualSpacing/>
        <w:jc w:val="center"/>
        <w:rPr>
          <w:b/>
          <w:szCs w:val="24"/>
          <w:u w:val="single"/>
        </w:rPr>
        <w:sectPr w:rsidR="00724926" w:rsidSect="008F01C7">
          <w:headerReference w:type="default" r:id="rId10"/>
          <w:footerReference w:type="default" r:id="rId11"/>
          <w:footnotePr>
            <w:numRestart w:val="eachSect"/>
          </w:footnotePr>
          <w:pgSz w:w="12240" w:h="15840"/>
          <w:pgMar w:top="1440" w:right="1440" w:bottom="1440" w:left="2160" w:header="720" w:footer="1008" w:gutter="0"/>
          <w:pgNumType w:start="1"/>
          <w:cols w:space="720"/>
          <w:docGrid w:linePitch="360"/>
        </w:sectPr>
      </w:pPr>
    </w:p>
    <w:p w:rsidR="00527419" w:rsidRDefault="00527419" w:rsidP="00476293">
      <w:pPr>
        <w:tabs>
          <w:tab w:val="left" w:pos="720"/>
        </w:tabs>
        <w:spacing w:line="240" w:lineRule="auto"/>
        <w:contextualSpacing/>
        <w:jc w:val="center"/>
        <w:rPr>
          <w:b/>
          <w:szCs w:val="24"/>
          <w:u w:val="single"/>
        </w:rPr>
      </w:pPr>
      <w:r>
        <w:rPr>
          <w:b/>
          <w:szCs w:val="24"/>
          <w:u w:val="single"/>
        </w:rPr>
        <w:t>CHAPTER I</w:t>
      </w:r>
    </w:p>
    <w:p w:rsidR="00527419" w:rsidRDefault="00527419" w:rsidP="00476293">
      <w:pPr>
        <w:tabs>
          <w:tab w:val="left" w:pos="720"/>
        </w:tabs>
        <w:spacing w:line="240" w:lineRule="auto"/>
        <w:contextualSpacing/>
        <w:jc w:val="center"/>
        <w:rPr>
          <w:b/>
          <w:szCs w:val="24"/>
          <w:u w:val="single"/>
        </w:rPr>
      </w:pPr>
    </w:p>
    <w:p w:rsidR="009A01CA" w:rsidRPr="00303CB5" w:rsidRDefault="00303CB5" w:rsidP="00476293">
      <w:pPr>
        <w:tabs>
          <w:tab w:val="left" w:pos="720"/>
        </w:tabs>
        <w:spacing w:line="240" w:lineRule="auto"/>
        <w:contextualSpacing/>
        <w:jc w:val="center"/>
        <w:rPr>
          <w:b/>
          <w:szCs w:val="24"/>
          <w:u w:val="single"/>
        </w:rPr>
      </w:pPr>
      <w:r w:rsidRPr="00303CB5">
        <w:rPr>
          <w:b/>
          <w:szCs w:val="24"/>
          <w:u w:val="single"/>
        </w:rPr>
        <w:t>INTRODUCTION</w:t>
      </w:r>
    </w:p>
    <w:p w:rsidR="00615E07" w:rsidRDefault="00615E07" w:rsidP="001D1114">
      <w:pPr>
        <w:tabs>
          <w:tab w:val="left" w:pos="720"/>
        </w:tabs>
        <w:spacing w:line="240" w:lineRule="auto"/>
        <w:contextualSpacing/>
        <w:jc w:val="center"/>
        <w:rPr>
          <w:szCs w:val="24"/>
        </w:rPr>
      </w:pPr>
    </w:p>
    <w:p w:rsidR="00316599" w:rsidRDefault="00316599" w:rsidP="001D1114">
      <w:pPr>
        <w:tabs>
          <w:tab w:val="left" w:pos="720"/>
        </w:tabs>
        <w:spacing w:line="240" w:lineRule="auto"/>
        <w:contextualSpacing/>
        <w:jc w:val="center"/>
        <w:rPr>
          <w:szCs w:val="24"/>
        </w:rPr>
      </w:pPr>
    </w:p>
    <w:p w:rsidR="00394109" w:rsidRDefault="00394109" w:rsidP="001D1114">
      <w:pPr>
        <w:tabs>
          <w:tab w:val="left" w:pos="720"/>
        </w:tabs>
        <w:spacing w:line="480" w:lineRule="auto"/>
        <w:contextualSpacing/>
        <w:rPr>
          <w:szCs w:val="24"/>
        </w:rPr>
      </w:pPr>
      <w:r>
        <w:rPr>
          <w:szCs w:val="24"/>
        </w:rPr>
        <w:tab/>
        <w:t>James Madison was, perhaps, one of the quietest founding fathers. He has no monument in Washington, no apocryphal stories of cherry trees, and no Paul Bunyanes</w:t>
      </w:r>
      <w:r w:rsidR="00280501">
        <w:rPr>
          <w:szCs w:val="24"/>
        </w:rPr>
        <w:t xml:space="preserve">que stories that make him larger than life. </w:t>
      </w:r>
      <w:r w:rsidR="00280501" w:rsidRPr="00280501">
        <w:rPr>
          <w:szCs w:val="24"/>
        </w:rPr>
        <w:t>Neal Riemer says that Madison “lived in the company of giants,” men like Washington, Jefferson, and Hamilton but never attained</w:t>
      </w:r>
      <w:r w:rsidR="00527419">
        <w:rPr>
          <w:szCs w:val="24"/>
        </w:rPr>
        <w:t xml:space="preserve"> the same</w:t>
      </w:r>
      <w:r w:rsidR="00280501" w:rsidRPr="00280501">
        <w:rPr>
          <w:szCs w:val="24"/>
        </w:rPr>
        <w:t xml:space="preserve"> folk hero status.</w:t>
      </w:r>
      <w:r w:rsidR="00280501" w:rsidRPr="00280501">
        <w:rPr>
          <w:szCs w:val="24"/>
          <w:vertAlign w:val="superscript"/>
        </w:rPr>
        <w:footnoteReference w:id="14"/>
      </w:r>
      <w:r w:rsidR="00280501" w:rsidRPr="00280501">
        <w:rPr>
          <w:szCs w:val="24"/>
        </w:rPr>
        <w:t xml:space="preserve"> </w:t>
      </w:r>
      <w:r w:rsidR="000320B2">
        <w:rPr>
          <w:szCs w:val="24"/>
        </w:rPr>
        <w:t xml:space="preserve">He was the consummate statesman who worked tirelessly for the public good, seldom seeking any credit for himself. Many of his </w:t>
      </w:r>
      <w:r w:rsidR="00280501" w:rsidRPr="00280501">
        <w:rPr>
          <w:szCs w:val="24"/>
        </w:rPr>
        <w:t xml:space="preserve">more important works such as the </w:t>
      </w:r>
      <w:r w:rsidR="00280501" w:rsidRPr="00280501">
        <w:rPr>
          <w:i/>
          <w:szCs w:val="24"/>
        </w:rPr>
        <w:t xml:space="preserve">Federalist Papers </w:t>
      </w:r>
      <w:r w:rsidR="00280501" w:rsidRPr="00280501">
        <w:rPr>
          <w:szCs w:val="24"/>
        </w:rPr>
        <w:t xml:space="preserve">and his </w:t>
      </w:r>
      <w:r w:rsidR="00280501" w:rsidRPr="00280501">
        <w:rPr>
          <w:i/>
          <w:szCs w:val="24"/>
        </w:rPr>
        <w:t>Memorial and Remonstrance</w:t>
      </w:r>
      <w:r w:rsidR="00280501" w:rsidRPr="00280501">
        <w:rPr>
          <w:szCs w:val="24"/>
        </w:rPr>
        <w:t xml:space="preserve"> were published anonymously.</w:t>
      </w:r>
      <w:r w:rsidR="00280501" w:rsidRPr="00280501">
        <w:rPr>
          <w:szCs w:val="24"/>
          <w:vertAlign w:val="superscript"/>
        </w:rPr>
        <w:footnoteReference w:id="15"/>
      </w:r>
      <w:r w:rsidR="00280501">
        <w:rPr>
          <w:szCs w:val="24"/>
        </w:rPr>
        <w:t xml:space="preserve"> And yet, Madison, more so than any other of the </w:t>
      </w:r>
      <w:r w:rsidR="002D34F0">
        <w:rPr>
          <w:szCs w:val="24"/>
        </w:rPr>
        <w:t>f</w:t>
      </w:r>
      <w:r w:rsidR="00280501">
        <w:rPr>
          <w:szCs w:val="24"/>
        </w:rPr>
        <w:t xml:space="preserve">ounding </w:t>
      </w:r>
      <w:r w:rsidR="002D34F0">
        <w:rPr>
          <w:szCs w:val="24"/>
        </w:rPr>
        <w:t>f</w:t>
      </w:r>
      <w:r w:rsidR="00280501">
        <w:rPr>
          <w:szCs w:val="24"/>
        </w:rPr>
        <w:t>athers, has a profound effect on everyday life in modern America. Integral to the drafting of the Constitution and the author of the Bill of Rights, jurists often turn to</w:t>
      </w:r>
      <w:r w:rsidR="00FA34D5">
        <w:rPr>
          <w:szCs w:val="24"/>
        </w:rPr>
        <w:t xml:space="preserve"> Madison</w:t>
      </w:r>
      <w:r w:rsidR="000601CF">
        <w:rPr>
          <w:szCs w:val="24"/>
        </w:rPr>
        <w:t xml:space="preserve"> </w:t>
      </w:r>
      <w:r w:rsidR="00527419">
        <w:rPr>
          <w:szCs w:val="24"/>
        </w:rPr>
        <w:t xml:space="preserve">for </w:t>
      </w:r>
      <w:r w:rsidR="000601CF">
        <w:rPr>
          <w:szCs w:val="24"/>
        </w:rPr>
        <w:t>an understanding of Constitutional issues.</w:t>
      </w:r>
    </w:p>
    <w:p w:rsidR="00715029" w:rsidRDefault="005773D1" w:rsidP="001D1114">
      <w:pPr>
        <w:tabs>
          <w:tab w:val="left" w:pos="720"/>
        </w:tabs>
        <w:spacing w:line="480" w:lineRule="auto"/>
        <w:contextualSpacing/>
        <w:rPr>
          <w:szCs w:val="24"/>
        </w:rPr>
      </w:pPr>
      <w:r>
        <w:rPr>
          <w:szCs w:val="24"/>
        </w:rPr>
        <w:tab/>
      </w:r>
      <w:r w:rsidR="00AB0B02" w:rsidRPr="00AB0B02">
        <w:rPr>
          <w:szCs w:val="24"/>
        </w:rPr>
        <w:t xml:space="preserve">Supreme Court cases are frequently about determining if a statute or other government action violates a constitutionally guaranteed right. In </w:t>
      </w:r>
      <w:r w:rsidR="00AB0B02" w:rsidRPr="00E46CE6">
        <w:rPr>
          <w:i/>
          <w:szCs w:val="24"/>
        </w:rPr>
        <w:t>Everson v. Board of Education</w:t>
      </w:r>
      <w:r w:rsidR="00715029">
        <w:rPr>
          <w:i/>
          <w:szCs w:val="24"/>
        </w:rPr>
        <w:t>,</w:t>
      </w:r>
      <w:r w:rsidR="00AB0B02" w:rsidRPr="00AB0B02">
        <w:rPr>
          <w:szCs w:val="24"/>
        </w:rPr>
        <w:t xml:space="preserve"> </w:t>
      </w:r>
      <w:r w:rsidR="00527419">
        <w:t>330 U.S. 1</w:t>
      </w:r>
      <w:r w:rsidR="00527419" w:rsidRPr="00AB0B02">
        <w:rPr>
          <w:szCs w:val="24"/>
        </w:rPr>
        <w:t xml:space="preserve"> </w:t>
      </w:r>
      <w:r w:rsidR="00AB0B02" w:rsidRPr="00AB0B02">
        <w:rPr>
          <w:szCs w:val="24"/>
        </w:rPr>
        <w:t xml:space="preserve">(1947), </w:t>
      </w:r>
      <w:r w:rsidR="0030629C">
        <w:rPr>
          <w:szCs w:val="24"/>
        </w:rPr>
        <w:t xml:space="preserve">both </w:t>
      </w:r>
      <w:r w:rsidR="00AB0B02" w:rsidRPr="00AB0B02">
        <w:rPr>
          <w:szCs w:val="24"/>
        </w:rPr>
        <w:t>Justice Black</w:t>
      </w:r>
      <w:r w:rsidR="0030629C">
        <w:rPr>
          <w:szCs w:val="24"/>
        </w:rPr>
        <w:t xml:space="preserve"> and dissenting Justice Rutledge</w:t>
      </w:r>
      <w:r w:rsidR="001D5164">
        <w:rPr>
          <w:szCs w:val="24"/>
        </w:rPr>
        <w:t>, consistent with originalism,</w:t>
      </w:r>
      <w:r w:rsidR="00AB0B02" w:rsidRPr="00AB0B02">
        <w:rPr>
          <w:szCs w:val="24"/>
        </w:rPr>
        <w:t xml:space="preserve"> used the historiography behind the First Amendment to address the issue of whether the statute in question was a violation of one of those rights. I will use </w:t>
      </w:r>
      <w:r w:rsidR="00414EAE">
        <w:rPr>
          <w:szCs w:val="24"/>
        </w:rPr>
        <w:t xml:space="preserve">a method </w:t>
      </w:r>
      <w:r w:rsidR="00715029">
        <w:rPr>
          <w:szCs w:val="24"/>
        </w:rPr>
        <w:t xml:space="preserve">which is a synthesis </w:t>
      </w:r>
      <w:r w:rsidR="0030629C">
        <w:rPr>
          <w:szCs w:val="24"/>
        </w:rPr>
        <w:t>of history’s</w:t>
      </w:r>
      <w:r w:rsidR="000320B2">
        <w:rPr>
          <w:szCs w:val="24"/>
        </w:rPr>
        <w:t xml:space="preserve"> </w:t>
      </w:r>
      <w:r w:rsidR="00715029">
        <w:rPr>
          <w:szCs w:val="24"/>
        </w:rPr>
        <w:t xml:space="preserve">synchronic and diachronic models </w:t>
      </w:r>
      <w:r w:rsidR="00715029">
        <w:rPr>
          <w:szCs w:val="24"/>
        </w:rPr>
        <w:lastRenderedPageBreak/>
        <w:t>across the body of this thesis</w:t>
      </w:r>
      <w:r w:rsidR="00414EAE">
        <w:rPr>
          <w:szCs w:val="24"/>
        </w:rPr>
        <w:t xml:space="preserve"> </w:t>
      </w:r>
      <w:r w:rsidR="00AB0B02" w:rsidRPr="00AB0B02">
        <w:rPr>
          <w:szCs w:val="24"/>
        </w:rPr>
        <w:t xml:space="preserve">to determine </w:t>
      </w:r>
      <w:r w:rsidR="00E04A73" w:rsidRPr="00AB0B02">
        <w:rPr>
          <w:szCs w:val="24"/>
        </w:rPr>
        <w:t>if Justice</w:t>
      </w:r>
      <w:r w:rsidR="00AB0B02" w:rsidRPr="00AB0B02">
        <w:rPr>
          <w:szCs w:val="24"/>
        </w:rPr>
        <w:t xml:space="preserve"> Black’s </w:t>
      </w:r>
      <w:r w:rsidR="00715029">
        <w:rPr>
          <w:szCs w:val="24"/>
        </w:rPr>
        <w:t>usage of history</w:t>
      </w:r>
      <w:r w:rsidR="00AB0B02" w:rsidRPr="00AB0B02">
        <w:rPr>
          <w:szCs w:val="24"/>
        </w:rPr>
        <w:t xml:space="preserve"> is consistent with </w:t>
      </w:r>
      <w:r w:rsidR="00715029">
        <w:rPr>
          <w:szCs w:val="24"/>
        </w:rPr>
        <w:t>Madison</w:t>
      </w:r>
      <w:r w:rsidR="00AB0B02" w:rsidRPr="00AB0B02">
        <w:rPr>
          <w:szCs w:val="24"/>
        </w:rPr>
        <w:t>’s understanding of the relationship between church and state as</w:t>
      </w:r>
      <w:r w:rsidR="00715029">
        <w:rPr>
          <w:szCs w:val="24"/>
        </w:rPr>
        <w:t xml:space="preserve"> represented in his </w:t>
      </w:r>
      <w:r w:rsidR="00715029" w:rsidRPr="00715029">
        <w:rPr>
          <w:i/>
          <w:szCs w:val="24"/>
        </w:rPr>
        <w:t>Memorial and Remonstrance</w:t>
      </w:r>
      <w:r w:rsidR="00715029">
        <w:rPr>
          <w:szCs w:val="24"/>
        </w:rPr>
        <w:t>.</w:t>
      </w:r>
      <w:r w:rsidR="00803588">
        <w:rPr>
          <w:szCs w:val="24"/>
        </w:rPr>
        <w:t xml:space="preserve"> In other words, does Justice Black’s </w:t>
      </w:r>
      <w:r w:rsidR="000320B2">
        <w:rPr>
          <w:szCs w:val="24"/>
        </w:rPr>
        <w:t xml:space="preserve">and Rutledge’s </w:t>
      </w:r>
      <w:r w:rsidR="00803588">
        <w:rPr>
          <w:szCs w:val="24"/>
        </w:rPr>
        <w:t xml:space="preserve">use of history </w:t>
      </w:r>
      <w:r w:rsidR="000320B2">
        <w:rPr>
          <w:szCs w:val="24"/>
        </w:rPr>
        <w:t>consider</w:t>
      </w:r>
      <w:r w:rsidR="00803588">
        <w:rPr>
          <w:szCs w:val="24"/>
        </w:rPr>
        <w:t xml:space="preserve"> the cultural contexts and historical paradigms through which James Madison developed his thoughts in regards to the relationship of church and state</w:t>
      </w:r>
      <w:r w:rsidR="0090393C">
        <w:rPr>
          <w:szCs w:val="24"/>
        </w:rPr>
        <w:t xml:space="preserve"> and if not, does that lead to a misinterpretation of Madisonian thought?</w:t>
      </w:r>
    </w:p>
    <w:p w:rsidR="00431655" w:rsidRDefault="007B0D06" w:rsidP="001D1114">
      <w:pPr>
        <w:tabs>
          <w:tab w:val="left" w:pos="720"/>
        </w:tabs>
        <w:spacing w:line="480" w:lineRule="auto"/>
        <w:contextualSpacing/>
        <w:rPr>
          <w:szCs w:val="24"/>
        </w:rPr>
      </w:pPr>
      <w:r>
        <w:rPr>
          <w:szCs w:val="24"/>
        </w:rPr>
        <w:tab/>
        <w:t>Th</w:t>
      </w:r>
      <w:r w:rsidR="00C27C17">
        <w:rPr>
          <w:szCs w:val="24"/>
        </w:rPr>
        <w:t xml:space="preserve">is </w:t>
      </w:r>
      <w:r w:rsidR="00803588">
        <w:rPr>
          <w:szCs w:val="24"/>
        </w:rPr>
        <w:t xml:space="preserve">thesis covers </w:t>
      </w:r>
      <w:r>
        <w:rPr>
          <w:szCs w:val="24"/>
        </w:rPr>
        <w:t xml:space="preserve">three specific areas of investigation </w:t>
      </w:r>
      <w:r w:rsidR="00803588">
        <w:rPr>
          <w:szCs w:val="24"/>
        </w:rPr>
        <w:t>to answer this question</w:t>
      </w:r>
      <w:r w:rsidR="009C4446">
        <w:rPr>
          <w:szCs w:val="24"/>
        </w:rPr>
        <w:t>. First,</w:t>
      </w:r>
      <w:r>
        <w:rPr>
          <w:szCs w:val="24"/>
        </w:rPr>
        <w:t xml:space="preserve"> the founding fathers as represented by James Madison</w:t>
      </w:r>
      <w:r w:rsidR="006B1F2B">
        <w:rPr>
          <w:szCs w:val="24"/>
        </w:rPr>
        <w:t>.</w:t>
      </w:r>
      <w:r>
        <w:rPr>
          <w:szCs w:val="24"/>
        </w:rPr>
        <w:t xml:space="preserve"> </w:t>
      </w:r>
      <w:r w:rsidR="006B1F2B">
        <w:rPr>
          <w:szCs w:val="24"/>
        </w:rPr>
        <w:t>This</w:t>
      </w:r>
      <w:r w:rsidR="00631BEF">
        <w:rPr>
          <w:szCs w:val="24"/>
        </w:rPr>
        <w:t xml:space="preserve"> encompass both the possible </w:t>
      </w:r>
      <w:r>
        <w:rPr>
          <w:szCs w:val="24"/>
        </w:rPr>
        <w:t xml:space="preserve">effect the </w:t>
      </w:r>
      <w:r w:rsidR="000320B2">
        <w:rPr>
          <w:szCs w:val="24"/>
        </w:rPr>
        <w:t>E</w:t>
      </w:r>
      <w:r>
        <w:rPr>
          <w:szCs w:val="24"/>
        </w:rPr>
        <w:t>nlightenment</w:t>
      </w:r>
      <w:r w:rsidR="006B1F2B">
        <w:rPr>
          <w:szCs w:val="24"/>
        </w:rPr>
        <w:t xml:space="preserve"> and Reformation</w:t>
      </w:r>
      <w:r>
        <w:rPr>
          <w:szCs w:val="24"/>
        </w:rPr>
        <w:t xml:space="preserve"> had on his thinking</w:t>
      </w:r>
      <w:r w:rsidR="00631BEF">
        <w:rPr>
          <w:szCs w:val="24"/>
        </w:rPr>
        <w:t xml:space="preserve"> and the cultural model that shaped his understanding of the issue</w:t>
      </w:r>
      <w:r w:rsidR="00803588">
        <w:rPr>
          <w:szCs w:val="24"/>
        </w:rPr>
        <w:t>.</w:t>
      </w:r>
      <w:r>
        <w:rPr>
          <w:szCs w:val="24"/>
        </w:rPr>
        <w:t xml:space="preserve"> </w:t>
      </w:r>
      <w:r w:rsidR="00803588">
        <w:rPr>
          <w:szCs w:val="24"/>
        </w:rPr>
        <w:t>Second</w:t>
      </w:r>
      <w:r w:rsidR="00196C6F" w:rsidRPr="00196C6F">
        <w:rPr>
          <w:szCs w:val="24"/>
        </w:rPr>
        <w:t>, confessionalism in early modern Europe</w:t>
      </w:r>
      <w:r w:rsidR="006B1F2B">
        <w:rPr>
          <w:szCs w:val="24"/>
        </w:rPr>
        <w:t xml:space="preserve">. James Madison was familiar with the Reformation and why the religious factionalism that developed was an issue. </w:t>
      </w:r>
      <w:r w:rsidR="00196C6F" w:rsidRPr="00196C6F">
        <w:rPr>
          <w:szCs w:val="24"/>
        </w:rPr>
        <w:t xml:space="preserve"> </w:t>
      </w:r>
      <w:r w:rsidR="006B1F2B">
        <w:rPr>
          <w:szCs w:val="24"/>
        </w:rPr>
        <w:t>F</w:t>
      </w:r>
      <w:r w:rsidR="009C4446">
        <w:rPr>
          <w:szCs w:val="24"/>
        </w:rPr>
        <w:t xml:space="preserve">inally, </w:t>
      </w:r>
      <w:r>
        <w:rPr>
          <w:szCs w:val="24"/>
        </w:rPr>
        <w:t>Justice Black</w:t>
      </w:r>
      <w:r w:rsidR="0062779E">
        <w:rPr>
          <w:szCs w:val="24"/>
        </w:rPr>
        <w:t>’s</w:t>
      </w:r>
      <w:r>
        <w:rPr>
          <w:szCs w:val="24"/>
        </w:rPr>
        <w:t xml:space="preserve"> judicial opinion rendered in the </w:t>
      </w:r>
      <w:r w:rsidRPr="00452BE3">
        <w:rPr>
          <w:i/>
          <w:szCs w:val="24"/>
        </w:rPr>
        <w:t>Everson</w:t>
      </w:r>
      <w:r>
        <w:rPr>
          <w:szCs w:val="24"/>
        </w:rPr>
        <w:t xml:space="preserve"> decision</w:t>
      </w:r>
      <w:r w:rsidR="000320B2">
        <w:rPr>
          <w:szCs w:val="24"/>
        </w:rPr>
        <w:t xml:space="preserve"> and Justice Rutledge’s dissent to that opinion</w:t>
      </w:r>
      <w:r w:rsidR="006B1F2B">
        <w:rPr>
          <w:szCs w:val="24"/>
        </w:rPr>
        <w:t xml:space="preserve"> </w:t>
      </w:r>
      <w:r w:rsidR="000320B2">
        <w:rPr>
          <w:szCs w:val="24"/>
        </w:rPr>
        <w:t>are</w:t>
      </w:r>
      <w:r w:rsidR="006B1F2B">
        <w:rPr>
          <w:szCs w:val="24"/>
        </w:rPr>
        <w:t xml:space="preserve"> addressed in light of these </w:t>
      </w:r>
      <w:r w:rsidR="00185617">
        <w:rPr>
          <w:szCs w:val="24"/>
        </w:rPr>
        <w:t>ideas</w:t>
      </w:r>
      <w:r w:rsidR="006B1F2B">
        <w:rPr>
          <w:szCs w:val="24"/>
        </w:rPr>
        <w:t xml:space="preserve"> that were part of Madison’s religious paradigm</w:t>
      </w:r>
      <w:r>
        <w:rPr>
          <w:szCs w:val="24"/>
        </w:rPr>
        <w:t xml:space="preserve">. </w:t>
      </w:r>
      <w:r w:rsidR="00461D5E">
        <w:rPr>
          <w:szCs w:val="24"/>
        </w:rPr>
        <w:t xml:space="preserve">Early on I made the decision to address each of these areas as separate concepts and research them as such, </w:t>
      </w:r>
      <w:r w:rsidR="004E2BE3">
        <w:rPr>
          <w:szCs w:val="24"/>
        </w:rPr>
        <w:t>seeking threads</w:t>
      </w:r>
      <w:r w:rsidR="0030629C">
        <w:rPr>
          <w:szCs w:val="24"/>
        </w:rPr>
        <w:t xml:space="preserve"> </w:t>
      </w:r>
      <w:r w:rsidR="00461D5E">
        <w:rPr>
          <w:szCs w:val="24"/>
        </w:rPr>
        <w:t>that tie them together.</w:t>
      </w:r>
      <w:r w:rsidR="006B1F2B">
        <w:rPr>
          <w:szCs w:val="24"/>
        </w:rPr>
        <w:t xml:space="preserve"> E</w:t>
      </w:r>
      <w:r w:rsidR="00173C3A">
        <w:rPr>
          <w:szCs w:val="24"/>
        </w:rPr>
        <w:t>ach component adds to the conversation a piece of the puzzle to draw out the larger picture for observation and analysis.</w:t>
      </w:r>
    </w:p>
    <w:p w:rsidR="0062779E" w:rsidRPr="0062779E" w:rsidRDefault="0062779E" w:rsidP="0062779E">
      <w:pPr>
        <w:tabs>
          <w:tab w:val="left" w:pos="720"/>
        </w:tabs>
        <w:spacing w:line="480" w:lineRule="auto"/>
        <w:contextualSpacing/>
        <w:rPr>
          <w:szCs w:val="24"/>
        </w:rPr>
      </w:pPr>
      <w:r w:rsidRPr="0062779E">
        <w:rPr>
          <w:szCs w:val="24"/>
        </w:rPr>
        <w:tab/>
        <w:t xml:space="preserve">The true heart of this thesis is to come to an understanding of the cultural context in which our founding documents, specifically the Establishment Clause of the First Amendment, were formulated. What was going on, or what issues from history were the motivators for including the </w:t>
      </w:r>
      <w:r w:rsidR="002D34F0">
        <w:rPr>
          <w:szCs w:val="24"/>
        </w:rPr>
        <w:t>institutions</w:t>
      </w:r>
      <w:r w:rsidRPr="0062779E">
        <w:rPr>
          <w:szCs w:val="24"/>
        </w:rPr>
        <w:t xml:space="preserve"> that the</w:t>
      </w:r>
      <w:r w:rsidR="008D6624">
        <w:rPr>
          <w:szCs w:val="24"/>
        </w:rPr>
        <w:t xml:space="preserve"> crafters of the government</w:t>
      </w:r>
      <w:r w:rsidRPr="0062779E">
        <w:rPr>
          <w:szCs w:val="24"/>
        </w:rPr>
        <w:t xml:space="preserve"> did in both our Constitution and Bill of Rights. Supreme </w:t>
      </w:r>
      <w:r w:rsidR="006B1F2B">
        <w:rPr>
          <w:szCs w:val="24"/>
        </w:rPr>
        <w:t>C</w:t>
      </w:r>
      <w:r w:rsidRPr="0062779E">
        <w:rPr>
          <w:szCs w:val="24"/>
        </w:rPr>
        <w:t xml:space="preserve">ourt Justices will often look at the writings of the </w:t>
      </w:r>
      <w:r w:rsidR="002D34F0">
        <w:rPr>
          <w:szCs w:val="24"/>
        </w:rPr>
        <w:t>f</w:t>
      </w:r>
      <w:r w:rsidRPr="0062779E">
        <w:rPr>
          <w:szCs w:val="24"/>
        </w:rPr>
        <w:t xml:space="preserve">ounding </w:t>
      </w:r>
      <w:r w:rsidR="002D34F0">
        <w:rPr>
          <w:szCs w:val="24"/>
        </w:rPr>
        <w:t>f</w:t>
      </w:r>
      <w:r w:rsidRPr="0062779E">
        <w:rPr>
          <w:szCs w:val="24"/>
        </w:rPr>
        <w:t xml:space="preserve">athers or at the language of the original document as it was understood </w:t>
      </w:r>
      <w:r w:rsidRPr="0062779E">
        <w:rPr>
          <w:szCs w:val="24"/>
        </w:rPr>
        <w:lastRenderedPageBreak/>
        <w:t xml:space="preserve">in the time frame in which it was written to make their decisions. However, without understanding the context of that writing, it is well within the realm of possibility to arrive at a correct decision for the wrong reasons or to arrive at an erroneous decision completely from a lack of knowledge. </w:t>
      </w:r>
      <w:r w:rsidR="008F6DBB">
        <w:rPr>
          <w:szCs w:val="24"/>
        </w:rPr>
        <w:t>I summarize each chapter and the context it provides below.</w:t>
      </w:r>
    </w:p>
    <w:p w:rsidR="004A2619" w:rsidRDefault="004A2619" w:rsidP="001D1114">
      <w:pPr>
        <w:tabs>
          <w:tab w:val="left" w:pos="720"/>
        </w:tabs>
        <w:spacing w:line="480" w:lineRule="auto"/>
        <w:contextualSpacing/>
        <w:rPr>
          <w:szCs w:val="24"/>
        </w:rPr>
      </w:pPr>
    </w:p>
    <w:p w:rsidR="009E12BC" w:rsidRDefault="00D12050" w:rsidP="009A0112">
      <w:pPr>
        <w:tabs>
          <w:tab w:val="left" w:pos="720"/>
        </w:tabs>
        <w:spacing w:line="480" w:lineRule="auto"/>
        <w:contextualSpacing/>
        <w:jc w:val="center"/>
      </w:pPr>
      <w:r>
        <w:rPr>
          <w:b/>
          <w:u w:val="single"/>
        </w:rPr>
        <w:t>James Madison’s America</w:t>
      </w:r>
    </w:p>
    <w:p w:rsidR="00BE12A7" w:rsidRDefault="00BE12A7" w:rsidP="001D1114">
      <w:pPr>
        <w:tabs>
          <w:tab w:val="left" w:pos="720"/>
        </w:tabs>
        <w:spacing w:line="480" w:lineRule="auto"/>
        <w:contextualSpacing/>
      </w:pPr>
    </w:p>
    <w:p w:rsidR="009E12BC" w:rsidRDefault="009E12BC" w:rsidP="001D1114">
      <w:pPr>
        <w:tabs>
          <w:tab w:val="left" w:pos="720"/>
        </w:tabs>
        <w:spacing w:line="480" w:lineRule="auto"/>
        <w:contextualSpacing/>
      </w:pPr>
      <w:r>
        <w:tab/>
        <w:t xml:space="preserve">The primary focus of this thesis is the Establishment Clause within the First Amendment of the Bill of Rights. </w:t>
      </w:r>
      <w:r w:rsidR="0030629C">
        <w:t>While there were</w:t>
      </w:r>
      <w:r>
        <w:t xml:space="preserve"> many men </w:t>
      </w:r>
      <w:r w:rsidR="00185617">
        <w:t>who</w:t>
      </w:r>
      <w:r>
        <w:t xml:space="preserve"> were involved in the creation of the </w:t>
      </w:r>
      <w:r w:rsidR="006600A0">
        <w:t xml:space="preserve">United States </w:t>
      </w:r>
      <w:r>
        <w:t xml:space="preserve">government, </w:t>
      </w:r>
      <w:r w:rsidR="0030629C" w:rsidRPr="0030629C">
        <w:t xml:space="preserve">James Madison </w:t>
      </w:r>
      <w:r>
        <w:t xml:space="preserve">was the primary architect of the Bill of Rights and therefore </w:t>
      </w:r>
      <w:r w:rsidR="0030629C">
        <w:t xml:space="preserve">it is </w:t>
      </w:r>
      <w:r>
        <w:t>important to understand the culture that influenced</w:t>
      </w:r>
      <w:r w:rsidR="0030629C">
        <w:t xml:space="preserve"> him in</w:t>
      </w:r>
      <w:r>
        <w:t xml:space="preserve"> its creation.</w:t>
      </w:r>
      <w:r w:rsidR="00AD5C24">
        <w:rPr>
          <w:rStyle w:val="FootnoteReference"/>
        </w:rPr>
        <w:footnoteReference w:id="16"/>
      </w:r>
      <w:r>
        <w:t xml:space="preserve"> What I am seeking to understand is what </w:t>
      </w:r>
      <w:r w:rsidR="00595A28">
        <w:t xml:space="preserve">factors </w:t>
      </w:r>
      <w:r>
        <w:t>motivated</w:t>
      </w:r>
      <w:r w:rsidR="00595A28">
        <w:t xml:space="preserve"> and influenced </w:t>
      </w:r>
      <w:r>
        <w:t>James Madison, what</w:t>
      </w:r>
      <w:r w:rsidR="00060828">
        <w:t xml:space="preserve"> </w:t>
      </w:r>
      <w:r>
        <w:t>he kn</w:t>
      </w:r>
      <w:r w:rsidR="00060828">
        <w:t>e</w:t>
      </w:r>
      <w:r>
        <w:t xml:space="preserve">w, and what led him to be so passionate concerning freedom of conscience. </w:t>
      </w:r>
    </w:p>
    <w:p w:rsidR="00FE3C92" w:rsidRDefault="009E12BC" w:rsidP="001D1114">
      <w:pPr>
        <w:tabs>
          <w:tab w:val="left" w:pos="720"/>
        </w:tabs>
        <w:spacing w:line="480" w:lineRule="auto"/>
        <w:contextualSpacing/>
      </w:pPr>
      <w:r>
        <w:tab/>
      </w:r>
      <w:r w:rsidR="00AF0938">
        <w:t>T</w:t>
      </w:r>
      <w:r w:rsidR="00FE3C92">
        <w:t xml:space="preserve">he founding period of the United States has an overwhelming amount of </w:t>
      </w:r>
      <w:r w:rsidR="004933ED" w:rsidRPr="004933ED">
        <w:t>primary and secondary sources</w:t>
      </w:r>
      <w:r w:rsidR="00FE3C92">
        <w:t xml:space="preserve"> </w:t>
      </w:r>
      <w:r w:rsidR="00185617">
        <w:t>from which one may</w:t>
      </w:r>
      <w:r w:rsidR="00FE3C92">
        <w:t xml:space="preserve"> draw. Therefore, I chose to limit my research</w:t>
      </w:r>
      <w:r w:rsidR="000601CF">
        <w:t xml:space="preserve"> primarily</w:t>
      </w:r>
      <w:r w:rsidR="00FE3C92">
        <w:t xml:space="preserve"> to Madison’s understanding of the dangers of faction as he interpreted the relationship of the Church and State through his knowledge of the Reformation</w:t>
      </w:r>
      <w:r w:rsidR="00187C22">
        <w:t>,</w:t>
      </w:r>
      <w:r w:rsidR="00FE3C92">
        <w:t xml:space="preserve"> </w:t>
      </w:r>
      <w:r w:rsidR="00187C22" w:rsidRPr="00187C22">
        <w:t>direct social influences</w:t>
      </w:r>
      <w:r w:rsidR="00187C22">
        <w:t xml:space="preserve"> such as the mentorship of John Witherspoon, and</w:t>
      </w:r>
      <w:r w:rsidR="00187C22" w:rsidRPr="00187C22">
        <w:t xml:space="preserve"> </w:t>
      </w:r>
      <w:r w:rsidR="00FE3C92">
        <w:t xml:space="preserve">the writings of Enlightenment authors, </w:t>
      </w:r>
      <w:r w:rsidR="00AF0938">
        <w:t>such as</w:t>
      </w:r>
      <w:r w:rsidR="00FE3C92">
        <w:t xml:space="preserve"> John Locke. There is no question that Madison was </w:t>
      </w:r>
      <w:r w:rsidR="00FE3C92">
        <w:lastRenderedPageBreak/>
        <w:t>familiar with Locke and other authors of the Enlightenment period as he</w:t>
      </w:r>
      <w:r w:rsidR="00D902D9">
        <w:t>,</w:t>
      </w:r>
      <w:r w:rsidR="00FE3C92">
        <w:t xml:space="preserve"> at times</w:t>
      </w:r>
      <w:r w:rsidR="00D902D9">
        <w:t>,</w:t>
      </w:r>
      <w:r w:rsidR="00FE3C92">
        <w:t xml:space="preserve"> references or quotes them directly. One of his favorite quot</w:t>
      </w:r>
      <w:r w:rsidR="00185617">
        <w:t>ations</w:t>
      </w:r>
      <w:r w:rsidR="00FE3C92">
        <w:t xml:space="preserve">, according to </w:t>
      </w:r>
      <w:r w:rsidR="0057537D">
        <w:t>Gaillard</w:t>
      </w:r>
      <w:r w:rsidR="00FE3C92">
        <w:t xml:space="preserve"> Hunt, is from Voltaire</w:t>
      </w:r>
      <w:r w:rsidR="004933ED">
        <w:t>,</w:t>
      </w:r>
      <w:r w:rsidR="00FE3C92">
        <w:t xml:space="preserve"> </w:t>
      </w:r>
      <w:bookmarkStart w:id="7" w:name="_Hlk526504630"/>
      <w:r w:rsidR="004933ED" w:rsidRPr="004933ED">
        <w:t>“If one religion only were allowed in England, the government would possibly become arbitrary; if there were but two, the people would cut each other’s throats; but as there are such a multitude, they all live happy and in peace.”</w:t>
      </w:r>
      <w:r w:rsidR="004933ED">
        <w:rPr>
          <w:rStyle w:val="FootnoteReference"/>
        </w:rPr>
        <w:footnoteReference w:id="17"/>
      </w:r>
      <w:r w:rsidR="00FE3C92">
        <w:t xml:space="preserve"> </w:t>
      </w:r>
      <w:bookmarkEnd w:id="7"/>
      <w:r w:rsidR="00FE3C92">
        <w:t xml:space="preserve">I will cover </w:t>
      </w:r>
      <w:r w:rsidR="00E54A99">
        <w:t xml:space="preserve">this in more depth </w:t>
      </w:r>
      <w:r w:rsidR="00FE3C92">
        <w:t>in the chapter on Madison.</w:t>
      </w:r>
      <w:r w:rsidR="006A2A41">
        <w:t xml:space="preserve"> </w:t>
      </w:r>
      <w:r w:rsidR="00595A28">
        <w:t>I will</w:t>
      </w:r>
      <w:r w:rsidR="00E54A99">
        <w:t xml:space="preserve"> also </w:t>
      </w:r>
      <w:r w:rsidR="00595A28">
        <w:t xml:space="preserve">cover some of the general background information on Madison and give an overview of his feelings concerning </w:t>
      </w:r>
      <w:r w:rsidR="006A2A41">
        <w:t>a separation of church and state before going on to analyzing Madison’s more pragmatic concerns.</w:t>
      </w:r>
    </w:p>
    <w:p w:rsidR="009C66A1" w:rsidRDefault="00FE3C92" w:rsidP="009C66A1">
      <w:pPr>
        <w:tabs>
          <w:tab w:val="left" w:pos="720"/>
        </w:tabs>
        <w:spacing w:line="480" w:lineRule="auto"/>
        <w:contextualSpacing/>
      </w:pPr>
      <w:r>
        <w:tab/>
      </w:r>
      <w:r w:rsidR="004F6236">
        <w:t>Th</w:t>
      </w:r>
      <w:r w:rsidR="004933ED">
        <w:t>ere are people who</w:t>
      </w:r>
      <w:r w:rsidR="004F6236">
        <w:t xml:space="preserve"> suggest Madison was </w:t>
      </w:r>
      <w:r w:rsidR="004933ED">
        <w:t>not, perhaps</w:t>
      </w:r>
      <w:r w:rsidR="0030629C">
        <w:t>,</w:t>
      </w:r>
      <w:r w:rsidR="004933ED">
        <w:t xml:space="preserve"> as forthright as becomes a statesman. They see his efforts as</w:t>
      </w:r>
      <w:r w:rsidR="004F6236">
        <w:t xml:space="preserve"> self-serving a</w:t>
      </w:r>
      <w:r w:rsidR="004933ED">
        <w:t>nd</w:t>
      </w:r>
      <w:r w:rsidR="004F6236">
        <w:t xml:space="preserve"> doubt his veracity in keeping prodigious notes </w:t>
      </w:r>
      <w:r w:rsidR="000E3AAE">
        <w:t xml:space="preserve">of the </w:t>
      </w:r>
      <w:r w:rsidR="00F262B6">
        <w:t>1787 Constitutional C</w:t>
      </w:r>
      <w:r w:rsidR="000E3AAE">
        <w:t xml:space="preserve">onvention proceedings </w:t>
      </w:r>
      <w:r w:rsidR="004F6236">
        <w:t xml:space="preserve">and being involved in so much of the discussion that went into crafting our Constitution. I find that opinion to be flawed. </w:t>
      </w:r>
      <w:r w:rsidR="00A97B97">
        <w:t>There is a verse in Proverbs that says “Let another man praise thee, and not thine own mouth,”</w:t>
      </w:r>
      <w:r w:rsidR="00A97B97">
        <w:rPr>
          <w:rStyle w:val="FootnoteReference"/>
        </w:rPr>
        <w:footnoteReference w:id="18"/>
      </w:r>
      <w:r w:rsidR="00A661F8">
        <w:t xml:space="preserve"> </w:t>
      </w:r>
      <w:r w:rsidR="00A97B97">
        <w:t>and I find this to be the case</w:t>
      </w:r>
      <w:r w:rsidR="00334EB8">
        <w:t xml:space="preserve"> with Madison. Through much of the correspondence and writings that I read of the </w:t>
      </w:r>
      <w:r w:rsidR="00185617">
        <w:t>f</w:t>
      </w:r>
      <w:r w:rsidR="00334EB8">
        <w:t xml:space="preserve">ounding </w:t>
      </w:r>
      <w:r w:rsidR="00185617">
        <w:t>f</w:t>
      </w:r>
      <w:r w:rsidR="00334EB8">
        <w:t>athers</w:t>
      </w:r>
      <w:r w:rsidR="00185617">
        <w:t>,</w:t>
      </w:r>
      <w:r w:rsidR="00334EB8">
        <w:t xml:space="preserve"> it was always the voices of others </w:t>
      </w:r>
      <w:r w:rsidR="00185617">
        <w:t>who</w:t>
      </w:r>
      <w:r w:rsidR="00334EB8">
        <w:t xml:space="preserve"> were praising Madison and not Madison himself. Thomas Jefferson in particular often praised Madison, remarking to another friend on one occasion that he did not know a “man of purer integrity [and more] devoted to genuine </w:t>
      </w:r>
      <w:r w:rsidR="002D34F0">
        <w:t>r</w:t>
      </w:r>
      <w:r w:rsidR="00334EB8">
        <w:t>epublicanism, than [Madison]” nor did he know a man with an “abler head</w:t>
      </w:r>
      <w:r w:rsidR="004F46E8">
        <w:t>”</w:t>
      </w:r>
      <w:r w:rsidR="004F46E8">
        <w:rPr>
          <w:rStyle w:val="FootnoteReference"/>
        </w:rPr>
        <w:footnoteReference w:id="19"/>
      </w:r>
      <w:r w:rsidR="000E3AAE">
        <w:t xml:space="preserve"> </w:t>
      </w:r>
      <w:r w:rsidR="00B105F7">
        <w:t xml:space="preserve">Others, such as Inman Horner </w:t>
      </w:r>
      <w:r w:rsidR="00B105F7">
        <w:lastRenderedPageBreak/>
        <w:t>saw Madison as “a man of industry, patience, and a clear, strong, discriminating mind.”</w:t>
      </w:r>
      <w:r w:rsidR="00B105F7">
        <w:rPr>
          <w:rStyle w:val="FootnoteReference"/>
        </w:rPr>
        <w:footnoteReference w:id="20"/>
      </w:r>
      <w:r w:rsidR="00B105F7">
        <w:t xml:space="preserve"> </w:t>
      </w:r>
      <w:r w:rsidR="000E3AAE">
        <w:t>The</w:t>
      </w:r>
      <w:r w:rsidR="009D768B">
        <w:t xml:space="preserve"> </w:t>
      </w:r>
      <w:r w:rsidR="000E3AAE">
        <w:t>topics that repeatedly surfaced during my research were Madison’s humility</w:t>
      </w:r>
      <w:r w:rsidR="009D768B">
        <w:t xml:space="preserve">, his tireless effort in the establishment of a working </w:t>
      </w:r>
      <w:r w:rsidR="002D34F0">
        <w:t>r</w:t>
      </w:r>
      <w:r w:rsidR="009D768B">
        <w:t>epublican government,</w:t>
      </w:r>
      <w:r w:rsidR="000E3AAE">
        <w:t xml:space="preserve"> and his passion for liberty.</w:t>
      </w:r>
    </w:p>
    <w:p w:rsidR="00187C22" w:rsidRDefault="009C66A1" w:rsidP="001D1114">
      <w:pPr>
        <w:tabs>
          <w:tab w:val="left" w:pos="720"/>
        </w:tabs>
        <w:spacing w:line="480" w:lineRule="auto"/>
        <w:contextualSpacing/>
      </w:pPr>
      <w:r>
        <w:tab/>
      </w:r>
      <w:r w:rsidR="00442019">
        <w:t xml:space="preserve">Of particular interest to my research was the correspondence between </w:t>
      </w:r>
      <w:r w:rsidR="009D768B">
        <w:t>William Bradford and Madison</w:t>
      </w:r>
      <w:r w:rsidR="00442019">
        <w:t>. The two</w:t>
      </w:r>
      <w:r w:rsidR="009D768B">
        <w:t xml:space="preserve"> developed a friendship during their time at the </w:t>
      </w:r>
      <w:r w:rsidR="000A6E38">
        <w:t xml:space="preserve">College of </w:t>
      </w:r>
      <w:r w:rsidR="009D768B">
        <w:t>New Jersey (Princeton)</w:t>
      </w:r>
      <w:r w:rsidR="00EA5957">
        <w:t xml:space="preserve"> and continued correspondence for a time afterwards. A man will often express his truest thoughts to his friends in a situation where he has complete confidence in the recipient of the information. Often, in a public discourse, men will feel the need to temper their speech in accordance with the public </w:t>
      </w:r>
      <w:r w:rsidR="00EA5957" w:rsidRPr="000B25CD">
        <w:t>mind</w:t>
      </w:r>
      <w:r w:rsidR="00187C22">
        <w:t>.</w:t>
      </w:r>
      <w:r w:rsidR="000B25CD" w:rsidRPr="000B25CD">
        <w:rPr>
          <w:rStyle w:val="FootnoteReference"/>
        </w:rPr>
        <w:footnoteReference w:id="21"/>
      </w:r>
      <w:r w:rsidR="000B25CD">
        <w:t xml:space="preserve"> Exchanges of this nature give a window into the innermost counsel of a man</w:t>
      </w:r>
      <w:r w:rsidR="00187C22">
        <w:t xml:space="preserve">. </w:t>
      </w:r>
      <w:r w:rsidR="00442019">
        <w:t xml:space="preserve">While I do not cite this source heavily, it </w:t>
      </w:r>
      <w:r w:rsidR="00B76CF9">
        <w:t>wa</w:t>
      </w:r>
      <w:r w:rsidR="00442019">
        <w:t xml:space="preserve">s a necessary part of establishing Madison’s true feelings on the nature of religious freedom and as such important to the overall picture of </w:t>
      </w:r>
      <w:r w:rsidR="001D2616">
        <w:t>Madisonian</w:t>
      </w:r>
      <w:r w:rsidR="000601CF">
        <w:t xml:space="preserve"> thought</w:t>
      </w:r>
      <w:r w:rsidR="00442019">
        <w:t xml:space="preserve">. </w:t>
      </w:r>
    </w:p>
    <w:p w:rsidR="007C2996" w:rsidRDefault="00187C22" w:rsidP="001D1114">
      <w:pPr>
        <w:tabs>
          <w:tab w:val="left" w:pos="720"/>
        </w:tabs>
        <w:spacing w:line="480" w:lineRule="auto"/>
        <w:contextualSpacing/>
      </w:pPr>
      <w:r>
        <w:tab/>
      </w:r>
      <w:r w:rsidR="006A2A41">
        <w:t>There are several topics that I am pointedly avoiding. First, is the controversy concerning Madison’s authorship of the Virginia plan that was presented to the Constitutional Convention in 1787 as a starting point for developing a constitution for the United States.</w:t>
      </w:r>
      <w:r w:rsidR="00ED1E66">
        <w:t xml:space="preserve"> There are those who </w:t>
      </w:r>
      <w:r w:rsidR="00AD5C24">
        <w:t>go</w:t>
      </w:r>
      <w:r w:rsidR="00ED1E66">
        <w:t xml:space="preserve"> so far as to suggest that Madison was the author of </w:t>
      </w:r>
      <w:r w:rsidR="00ED1E66">
        <w:lastRenderedPageBreak/>
        <w:t xml:space="preserve">the Constitution, though Madison himself dissuaded the author of that opinion of his belief, stating that, “It </w:t>
      </w:r>
      <w:r w:rsidR="00F262B6">
        <w:t xml:space="preserve">(the Constitution) </w:t>
      </w:r>
      <w:r w:rsidR="00ED1E66">
        <w:t>ought to be regarded as the work of many heads &amp; many ha</w:t>
      </w:r>
      <w:r w:rsidR="007C2996">
        <w:t>n</w:t>
      </w:r>
      <w:r w:rsidR="00ED1E66">
        <w:t>ds.”</w:t>
      </w:r>
      <w:r w:rsidR="00ED1E66">
        <w:rPr>
          <w:rStyle w:val="FootnoteReference"/>
        </w:rPr>
        <w:footnoteReference w:id="22"/>
      </w:r>
      <w:r w:rsidR="00ED1E66">
        <w:t xml:space="preserve"> </w:t>
      </w:r>
      <w:r w:rsidR="007C2996">
        <w:t xml:space="preserve">Authorship of the Constitution </w:t>
      </w:r>
      <w:r w:rsidR="009C66A1">
        <w:t>and</w:t>
      </w:r>
      <w:r w:rsidR="007C2996">
        <w:t xml:space="preserve"> Virginia plan are </w:t>
      </w:r>
      <w:r w:rsidR="009C66A1">
        <w:t>not</w:t>
      </w:r>
      <w:r w:rsidR="007C2996">
        <w:t xml:space="preserve"> to the focus of this thesis and</w:t>
      </w:r>
      <w:r w:rsidR="00185617">
        <w:t>,</w:t>
      </w:r>
      <w:r w:rsidR="007C2996">
        <w:t xml:space="preserve"> regardless, it is clear that Madison was integral to every step of </w:t>
      </w:r>
      <w:r w:rsidR="00AD5C24">
        <w:t xml:space="preserve">the </w:t>
      </w:r>
      <w:r w:rsidR="007C2996">
        <w:t xml:space="preserve">establishment of a </w:t>
      </w:r>
      <w:r w:rsidR="00185617">
        <w:t>r</w:t>
      </w:r>
      <w:r w:rsidR="007C2996">
        <w:t xml:space="preserve">epublican form of government for the United States; preparation of, establishment of, and ratification of </w:t>
      </w:r>
      <w:r w:rsidR="009C66A1">
        <w:t>t</w:t>
      </w:r>
      <w:r w:rsidR="007C2996">
        <w:t xml:space="preserve">he Constitution. The other controversy not addressed here is that of whether Madison was a “Christian” or a “Deist.” </w:t>
      </w:r>
      <w:r w:rsidR="001D2616">
        <w:t>I do not believe that it is possible, beyond a fault, to know the condition of a man’s heart</w:t>
      </w:r>
      <w:r w:rsidR="00185617">
        <w:t>,</w:t>
      </w:r>
      <w:r w:rsidR="001D2616">
        <w:t xml:space="preserve"> and t</w:t>
      </w:r>
      <w:r w:rsidR="007C2996">
        <w:t>he controversy adds nothing to this discussion</w:t>
      </w:r>
      <w:r w:rsidR="001D2616">
        <w:t xml:space="preserve">. A significant portion of this thesis depends on social contexts and influential writings other than the Bible. On either side of the argument it is possible for Madison to make the same arguments </w:t>
      </w:r>
      <w:r w:rsidR="00AF0938">
        <w:t xml:space="preserve">with regard to religious freedom, </w:t>
      </w:r>
      <w:r w:rsidR="001D2616">
        <w:t>so therefore,</w:t>
      </w:r>
      <w:r w:rsidR="007C2996">
        <w:t xml:space="preserve"> this is the only mention that this work will give to the subject. </w:t>
      </w:r>
    </w:p>
    <w:p w:rsidR="004A2619" w:rsidRDefault="007C2996" w:rsidP="001D1114">
      <w:pPr>
        <w:tabs>
          <w:tab w:val="left" w:pos="720"/>
        </w:tabs>
        <w:spacing w:line="480" w:lineRule="auto"/>
        <w:contextualSpacing/>
      </w:pPr>
      <w:r>
        <w:tab/>
      </w:r>
      <w:r w:rsidR="00966EC5">
        <w:t>Somewhat more integral to this work is Madison’s authorship of the Bill of Rights. While not added to the Constitution in the form Madison presented to Congress, the essence is still fairly true to Madison’s original submission</w:t>
      </w:r>
      <w:r w:rsidR="00B76CF9">
        <w:t>, at least in regards to the Establishment Clause</w:t>
      </w:r>
      <w:r w:rsidR="00966EC5">
        <w:t>. Madison drew on a vast knowledge base of historical writings, current (for him) political and philosophical writings, and his voluminous correspondence between himself and those who were the brightest and the best in his day. There is no question in my mind that he drew on all that information in every endeavor that he took in regards to the creation of this nation’s government.</w:t>
      </w:r>
      <w:r w:rsidR="004A2619">
        <w:t xml:space="preserve"> </w:t>
      </w:r>
    </w:p>
    <w:p w:rsidR="003A6472" w:rsidRDefault="003A6472" w:rsidP="001D1114">
      <w:pPr>
        <w:tabs>
          <w:tab w:val="left" w:pos="720"/>
        </w:tabs>
        <w:spacing w:line="480" w:lineRule="auto"/>
        <w:contextualSpacing/>
      </w:pPr>
    </w:p>
    <w:p w:rsidR="003A6472" w:rsidRDefault="003A6472" w:rsidP="001D1114">
      <w:pPr>
        <w:tabs>
          <w:tab w:val="left" w:pos="720"/>
        </w:tabs>
        <w:spacing w:line="480" w:lineRule="auto"/>
        <w:contextualSpacing/>
      </w:pPr>
    </w:p>
    <w:p w:rsidR="00C75504" w:rsidRDefault="00C75504" w:rsidP="001D1114">
      <w:pPr>
        <w:tabs>
          <w:tab w:val="left" w:pos="720"/>
        </w:tabs>
        <w:spacing w:line="480" w:lineRule="auto"/>
        <w:contextualSpacing/>
      </w:pPr>
    </w:p>
    <w:p w:rsidR="00C75504" w:rsidRDefault="00C75504" w:rsidP="009A0112">
      <w:pPr>
        <w:tabs>
          <w:tab w:val="left" w:pos="720"/>
        </w:tabs>
        <w:spacing w:line="480" w:lineRule="auto"/>
        <w:contextualSpacing/>
        <w:jc w:val="center"/>
        <w:rPr>
          <w:szCs w:val="24"/>
        </w:rPr>
      </w:pPr>
      <w:r>
        <w:rPr>
          <w:b/>
          <w:szCs w:val="24"/>
          <w:u w:val="single"/>
        </w:rPr>
        <w:t>The Early Modern Model</w:t>
      </w:r>
    </w:p>
    <w:p w:rsidR="00397E9E" w:rsidRDefault="00397E9E" w:rsidP="00C75504">
      <w:pPr>
        <w:tabs>
          <w:tab w:val="left" w:pos="720"/>
        </w:tabs>
        <w:spacing w:line="480" w:lineRule="auto"/>
        <w:contextualSpacing/>
        <w:rPr>
          <w:szCs w:val="24"/>
        </w:rPr>
      </w:pPr>
    </w:p>
    <w:p w:rsidR="00C75504" w:rsidRPr="00964A36" w:rsidRDefault="00C75504" w:rsidP="00C75504">
      <w:pPr>
        <w:spacing w:line="480" w:lineRule="auto"/>
        <w:contextualSpacing/>
        <w:rPr>
          <w:szCs w:val="24"/>
        </w:rPr>
      </w:pPr>
      <w:r>
        <w:rPr>
          <w:szCs w:val="24"/>
        </w:rPr>
        <w:tab/>
        <w:t xml:space="preserve">My question in regards to the early modern time period is as follows: </w:t>
      </w:r>
      <w:r>
        <w:t>What possible impact can the Reformation, which Pope Leo X described as a “squabble between monks,”</w:t>
      </w:r>
      <w:r>
        <w:rPr>
          <w:rStyle w:val="FootnoteReference"/>
        </w:rPr>
        <w:footnoteReference w:id="23"/>
      </w:r>
      <w:r>
        <w:t xml:space="preserve"> and the subsequent confessional tensions of Europeans who lived hundreds of years ago have on </w:t>
      </w:r>
      <w:r w:rsidR="00AE25C4">
        <w:t>James Madison’s views on church and state</w:t>
      </w:r>
      <w:r>
        <w:t xml:space="preserve">? My initial thought, after </w:t>
      </w:r>
      <w:r w:rsidRPr="00081A50">
        <w:t>a cursory examination of the Reformation</w:t>
      </w:r>
      <w:r>
        <w:t>,</w:t>
      </w:r>
      <w:r w:rsidRPr="00081A50">
        <w:t xml:space="preserve"> </w:t>
      </w:r>
      <w:r>
        <w:t>was that its value to this project was strictly as background context for what I believed was the real issue: state sponsored violence in religious contexts. However, my assumptions in this regard were incorrect. I quickly found that the issues involved are far more complicated than simple cases of violence, state or otherwise. In fact, what I discovered was that, in essence, the Reformation, partly through confessional violence, changed the dynamic of the nature of the relationship between the church and the state, a fact that was to have far reaching consequences as I shall detail throughout this thesis.</w:t>
      </w:r>
      <w:r>
        <w:rPr>
          <w:rStyle w:val="FootnoteReference"/>
        </w:rPr>
        <w:footnoteReference w:id="24"/>
      </w:r>
    </w:p>
    <w:p w:rsidR="00C75504" w:rsidRDefault="00C75504" w:rsidP="00C75504">
      <w:pPr>
        <w:tabs>
          <w:tab w:val="left" w:pos="720"/>
        </w:tabs>
        <w:spacing w:line="480" w:lineRule="auto"/>
        <w:contextualSpacing/>
        <w:rPr>
          <w:szCs w:val="24"/>
        </w:rPr>
      </w:pPr>
      <w:r>
        <w:rPr>
          <w:szCs w:val="24"/>
        </w:rPr>
        <w:tab/>
        <w:t xml:space="preserve">There are several steps that I take in addressing confessionalism and its context in regards to the state. After giving a short description of what confessionalism is and how it functions, I </w:t>
      </w:r>
      <w:r w:rsidR="009A5851">
        <w:rPr>
          <w:szCs w:val="24"/>
        </w:rPr>
        <w:t>seek</w:t>
      </w:r>
      <w:r>
        <w:rPr>
          <w:szCs w:val="24"/>
        </w:rPr>
        <w:t xml:space="preserve"> to establish what, exactly, was the nature of that relationship and how </w:t>
      </w:r>
      <w:r>
        <w:rPr>
          <w:szCs w:val="24"/>
        </w:rPr>
        <w:lastRenderedPageBreak/>
        <w:t>violence was used within that context</w:t>
      </w:r>
      <w:r w:rsidR="008020A6">
        <w:rPr>
          <w:szCs w:val="24"/>
        </w:rPr>
        <w:t xml:space="preserve">, </w:t>
      </w:r>
      <w:r w:rsidR="008020A6" w:rsidRPr="008020A6">
        <w:rPr>
          <w:szCs w:val="24"/>
        </w:rPr>
        <w:t>how that confessional violence affected the state and what the new paradigm of state and church relationship was in the wake of the Reformation.</w:t>
      </w:r>
      <w:r w:rsidR="008020A6">
        <w:rPr>
          <w:szCs w:val="24"/>
        </w:rPr>
        <w:t xml:space="preserve"> I conclude by providing several examples of the issues involved in the state and church relationship where violence is involved. </w:t>
      </w:r>
      <w:r>
        <w:rPr>
          <w:szCs w:val="24"/>
        </w:rPr>
        <w:t xml:space="preserve">My sources for this are a fusion of three authors. Benjamin Kaplan, Wolfgang Reinhard, and </w:t>
      </w:r>
      <w:r w:rsidRPr="009262AF">
        <w:rPr>
          <w:szCs w:val="24"/>
        </w:rPr>
        <w:t>R. Po-Chia Hsia</w:t>
      </w:r>
      <w:r>
        <w:rPr>
          <w:szCs w:val="24"/>
        </w:rPr>
        <w:t>. I found them fairly in agreement concerning confessionalism other than the fact that Reinhard believes there was no counter-Reformation but rather an ongoing movement to purify the church</w:t>
      </w:r>
      <w:r w:rsidR="00AE25C4">
        <w:rPr>
          <w:szCs w:val="24"/>
        </w:rPr>
        <w:t>.</w:t>
      </w:r>
      <w:r>
        <w:rPr>
          <w:rStyle w:val="FootnoteReference"/>
          <w:szCs w:val="24"/>
        </w:rPr>
        <w:footnoteReference w:id="25"/>
      </w:r>
      <w:r>
        <w:rPr>
          <w:szCs w:val="24"/>
        </w:rPr>
        <w:t xml:space="preserve"> </w:t>
      </w:r>
    </w:p>
    <w:p w:rsidR="009A0112" w:rsidRDefault="009A0112" w:rsidP="00C75504">
      <w:pPr>
        <w:tabs>
          <w:tab w:val="left" w:pos="720"/>
        </w:tabs>
        <w:spacing w:line="480" w:lineRule="auto"/>
        <w:contextualSpacing/>
        <w:rPr>
          <w:szCs w:val="24"/>
        </w:rPr>
      </w:pPr>
    </w:p>
    <w:p w:rsidR="000B0CA5" w:rsidRDefault="000B0CA5" w:rsidP="009A0112">
      <w:pPr>
        <w:tabs>
          <w:tab w:val="left" w:pos="720"/>
        </w:tabs>
        <w:spacing w:line="480" w:lineRule="auto"/>
        <w:contextualSpacing/>
        <w:jc w:val="center"/>
        <w:rPr>
          <w:b/>
          <w:u w:val="single"/>
        </w:rPr>
      </w:pPr>
      <w:r>
        <w:rPr>
          <w:b/>
          <w:i/>
          <w:u w:val="single"/>
        </w:rPr>
        <w:t>Everson</w:t>
      </w:r>
      <w:r>
        <w:rPr>
          <w:b/>
          <w:u w:val="single"/>
        </w:rPr>
        <w:t xml:space="preserve"> and Justice Black</w:t>
      </w:r>
    </w:p>
    <w:p w:rsidR="000B0CA5" w:rsidRDefault="000B0CA5" w:rsidP="000B0CA5">
      <w:pPr>
        <w:tabs>
          <w:tab w:val="left" w:pos="720"/>
        </w:tabs>
        <w:spacing w:line="480" w:lineRule="auto"/>
        <w:contextualSpacing/>
      </w:pPr>
    </w:p>
    <w:p w:rsidR="000B0CA5" w:rsidRDefault="000B0CA5" w:rsidP="000B0CA5">
      <w:pPr>
        <w:tabs>
          <w:tab w:val="left" w:pos="720"/>
        </w:tabs>
        <w:spacing w:line="480" w:lineRule="auto"/>
        <w:contextualSpacing/>
      </w:pPr>
      <w:r>
        <w:tab/>
        <w:t>In th</w:t>
      </w:r>
      <w:r w:rsidR="00454C04">
        <w:t>e fourth</w:t>
      </w:r>
      <w:r>
        <w:t xml:space="preserve"> chapter I begin by positing several questions </w:t>
      </w:r>
      <w:r w:rsidR="00185617">
        <w:t>that</w:t>
      </w:r>
      <w:r>
        <w:t xml:space="preserve"> Madison’s cultural context </w:t>
      </w:r>
      <w:r w:rsidR="00185617">
        <w:t>suggests</w:t>
      </w:r>
      <w:r>
        <w:t>. After laying that foundation as the parameters in which I address the Justices’ interpretation of Madison, I give a brief synopsis of the case, the legislation at the heart of the issue, and Justice Black and his reputation as a textualist. From there I analyze</w:t>
      </w:r>
      <w:r w:rsidR="00157482">
        <w:t xml:space="preserve"> both</w:t>
      </w:r>
      <w:r>
        <w:t xml:space="preserve"> Black’s </w:t>
      </w:r>
      <w:r w:rsidR="00157482">
        <w:t xml:space="preserve">and Rutledge’s </w:t>
      </w:r>
      <w:r>
        <w:t>opinion</w:t>
      </w:r>
      <w:r w:rsidR="00157482">
        <w:t>s</w:t>
      </w:r>
      <w:r>
        <w:t xml:space="preserve"> in light of Madisonian context. </w:t>
      </w:r>
    </w:p>
    <w:p w:rsidR="00957DDE" w:rsidRDefault="00957DDE" w:rsidP="000B0CA5">
      <w:pPr>
        <w:tabs>
          <w:tab w:val="left" w:pos="720"/>
        </w:tabs>
        <w:spacing w:line="480" w:lineRule="auto"/>
        <w:contextualSpacing/>
      </w:pPr>
      <w:r>
        <w:tab/>
      </w:r>
      <w:r w:rsidRPr="00D17D09">
        <w:rPr>
          <w:i/>
        </w:rPr>
        <w:t>Everson</w:t>
      </w:r>
      <w:r>
        <w:t xml:space="preserve"> was a case about the state of New Jersey paying for bus transportation for students of parochial schools. At its core are the issues of church and state and it is important because through it the Supreme Court, in the opinion of Justice Hugo Black, incorporated the First Amendment</w:t>
      </w:r>
      <w:r w:rsidR="00D17D09">
        <w:t xml:space="preserve"> Establishment Clause to the states. Black was considered, generally, a textualist and where the Establishment Clause is concerned a </w:t>
      </w:r>
      <w:r w:rsidR="00D17D09">
        <w:lastRenderedPageBreak/>
        <w:t xml:space="preserve">hard-core separationist. His stance where government legislative involvement </w:t>
      </w:r>
      <w:r w:rsidR="00BC352A">
        <w:t xml:space="preserve">in church affairs </w:t>
      </w:r>
      <w:r w:rsidR="00D17D09">
        <w:t>was his dictum that “no law means no law.”</w:t>
      </w:r>
      <w:r w:rsidR="00D17D09">
        <w:rPr>
          <w:rStyle w:val="FootnoteReference"/>
        </w:rPr>
        <w:footnoteReference w:id="26"/>
      </w:r>
      <w:r w:rsidR="00D17D09">
        <w:t xml:space="preserve"> While there are many who consider his opinion in the </w:t>
      </w:r>
      <w:r w:rsidR="00D17D09" w:rsidRPr="00BC670B">
        <w:rPr>
          <w:i/>
        </w:rPr>
        <w:t>Everson</w:t>
      </w:r>
      <w:r w:rsidR="00D17D09">
        <w:t xml:space="preserve"> case a divergence from his separationist stance</w:t>
      </w:r>
      <w:r w:rsidR="00BC352A">
        <w:t xml:space="preserve"> because he permitted the state to continue to reimburse parents of Catholic children for monies spent on bus transportation; </w:t>
      </w:r>
      <w:r w:rsidR="00D17D09">
        <w:t>a careful reading reveals that nothing can be further from the truth</w:t>
      </w:r>
      <w:r w:rsidR="00BC352A">
        <w:t>.</w:t>
      </w:r>
      <w:r w:rsidR="00D17D09">
        <w:t xml:space="preserve"> Black, in </w:t>
      </w:r>
      <w:r w:rsidR="00D17D09" w:rsidRPr="00BC670B">
        <w:rPr>
          <w:i/>
        </w:rPr>
        <w:t>Everson</w:t>
      </w:r>
      <w:r w:rsidR="00D17D09">
        <w:t>, has not abandoned his position on separation of church and state. More on that in Chapter four.</w:t>
      </w:r>
    </w:p>
    <w:p w:rsidR="00BC352A" w:rsidRPr="00397E9E" w:rsidRDefault="00BC352A" w:rsidP="000B0CA5">
      <w:pPr>
        <w:tabs>
          <w:tab w:val="left" w:pos="720"/>
        </w:tabs>
        <w:spacing w:line="480" w:lineRule="auto"/>
        <w:contextualSpacing/>
      </w:pPr>
      <w:r>
        <w:tab/>
        <w:t xml:space="preserve">For this thesis, </w:t>
      </w:r>
      <w:r w:rsidRPr="00BC670B">
        <w:rPr>
          <w:i/>
        </w:rPr>
        <w:t>Everson</w:t>
      </w:r>
      <w:r>
        <w:t xml:space="preserve"> is the test case. Through James Madison and his </w:t>
      </w:r>
      <w:r w:rsidRPr="008020A6">
        <w:rPr>
          <w:i/>
        </w:rPr>
        <w:t>Memorial and Remonstrance</w:t>
      </w:r>
      <w:r>
        <w:t>, I develop a set of questions, for example</w:t>
      </w:r>
      <w:r w:rsidRPr="00BC670B">
        <w:t>, does the legislation prevent anyone from worshiping God freely in the manner that they believe is correct,</w:t>
      </w:r>
      <w:r>
        <w:t xml:space="preserve"> and it is these questions that</w:t>
      </w:r>
      <w:r w:rsidR="008020A6">
        <w:t xml:space="preserve"> I hold up against the Justices</w:t>
      </w:r>
      <w:r w:rsidR="003A1FD5">
        <w:t>’</w:t>
      </w:r>
      <w:r w:rsidR="008020A6">
        <w:t xml:space="preserve"> use of Madison to see if the Justices take into account Madison’s understandings of his context.</w:t>
      </w:r>
    </w:p>
    <w:p w:rsidR="00C75504" w:rsidRDefault="00C75504" w:rsidP="00C75504">
      <w:pPr>
        <w:tabs>
          <w:tab w:val="left" w:pos="720"/>
        </w:tabs>
        <w:spacing w:line="480" w:lineRule="auto"/>
        <w:contextualSpacing/>
        <w:rPr>
          <w:szCs w:val="24"/>
        </w:rPr>
      </w:pPr>
    </w:p>
    <w:p w:rsidR="00C75504" w:rsidRDefault="00C75504" w:rsidP="009A0112">
      <w:pPr>
        <w:tabs>
          <w:tab w:val="left" w:pos="720"/>
        </w:tabs>
        <w:spacing w:line="480" w:lineRule="auto"/>
        <w:contextualSpacing/>
        <w:jc w:val="center"/>
        <w:rPr>
          <w:b/>
          <w:u w:val="single"/>
        </w:rPr>
      </w:pPr>
      <w:bookmarkStart w:id="12" w:name="_Hlk519329876"/>
      <w:r>
        <w:rPr>
          <w:b/>
          <w:u w:val="single"/>
        </w:rPr>
        <w:t>Methodology</w:t>
      </w:r>
    </w:p>
    <w:p w:rsidR="00397E9E" w:rsidRDefault="00397E9E" w:rsidP="00C75504">
      <w:pPr>
        <w:tabs>
          <w:tab w:val="left" w:pos="720"/>
        </w:tabs>
        <w:spacing w:line="480" w:lineRule="auto"/>
        <w:contextualSpacing/>
      </w:pPr>
    </w:p>
    <w:bookmarkEnd w:id="12"/>
    <w:p w:rsidR="00AF0938" w:rsidRDefault="00AF0938" w:rsidP="00AF0938">
      <w:pPr>
        <w:tabs>
          <w:tab w:val="left" w:pos="720"/>
        </w:tabs>
        <w:spacing w:line="480" w:lineRule="auto"/>
        <w:contextualSpacing/>
      </w:pPr>
      <w:r>
        <w:tab/>
        <w:t xml:space="preserve">In writing the </w:t>
      </w:r>
      <w:r w:rsidR="00F4184E">
        <w:t>second</w:t>
      </w:r>
      <w:r>
        <w:t xml:space="preserve"> chapter I attempted, though not perfectly, to restrict myself to </w:t>
      </w:r>
      <w:r w:rsidRPr="009C66A1">
        <w:t>documents and correspondence written by and in response to Madison</w:t>
      </w:r>
      <w:r>
        <w:t xml:space="preserve">. For this I draw on three sources. First, the </w:t>
      </w:r>
      <w:r w:rsidRPr="002A4556">
        <w:rPr>
          <w:i/>
        </w:rPr>
        <w:t>Writings of James Madison</w:t>
      </w:r>
      <w:r>
        <w:t xml:space="preserve">, edited by Gaillard Hunt, next the </w:t>
      </w:r>
      <w:r>
        <w:rPr>
          <w:i/>
        </w:rPr>
        <w:t>Papers of James Madison</w:t>
      </w:r>
      <w:r>
        <w:t xml:space="preserve">, edited by </w:t>
      </w:r>
      <w:r w:rsidRPr="00AD4ED8">
        <w:t>William T. Hutchinson and William M. E. Rachal</w:t>
      </w:r>
      <w:r>
        <w:t xml:space="preserve">, and third, </w:t>
      </w:r>
      <w:r>
        <w:rPr>
          <w:i/>
        </w:rPr>
        <w:t>History of the life and times of James Madison</w:t>
      </w:r>
      <w:r>
        <w:t xml:space="preserve"> by William C. Rives.   </w:t>
      </w:r>
    </w:p>
    <w:p w:rsidR="00AF0938" w:rsidRDefault="00AF0938" w:rsidP="00AF0938">
      <w:pPr>
        <w:tabs>
          <w:tab w:val="left" w:pos="720"/>
        </w:tabs>
        <w:spacing w:line="480" w:lineRule="auto"/>
        <w:contextualSpacing/>
      </w:pPr>
      <w:r>
        <w:lastRenderedPageBreak/>
        <w:tab/>
        <w:t xml:space="preserve">The </w:t>
      </w:r>
      <w:r w:rsidR="00BA7779" w:rsidRPr="00BA7779">
        <w:rPr>
          <w:i/>
        </w:rPr>
        <w:t>Writings of James Madison</w:t>
      </w:r>
      <w:r>
        <w:t xml:space="preserve"> I accessed through an online format that allowed me to search the documents electronically to find the information I was looking for</w:t>
      </w:r>
      <w:r w:rsidRPr="00AD4ED8">
        <w:rPr>
          <w:rFonts w:eastAsia="Calibri" w:cs="Times New Roman"/>
        </w:rPr>
        <w:t xml:space="preserve"> </w:t>
      </w:r>
      <w:r w:rsidRPr="00AD4ED8">
        <w:t xml:space="preserve">using </w:t>
      </w:r>
      <w:r w:rsidR="001F5CD8">
        <w:t xml:space="preserve">the </w:t>
      </w:r>
      <w:r w:rsidRPr="00AD4ED8">
        <w:t>keywords</w:t>
      </w:r>
      <w:r w:rsidR="001F5CD8">
        <w:t xml:space="preserve"> </w:t>
      </w:r>
      <w:r>
        <w:t>liberty, slavery, religion</w:t>
      </w:r>
      <w:r w:rsidR="001F5CD8">
        <w:t>, faction, and Locke</w:t>
      </w:r>
      <w:r>
        <w:t>.</w:t>
      </w:r>
      <w:r>
        <w:rPr>
          <w:rStyle w:val="FootnoteReference"/>
        </w:rPr>
        <w:footnoteReference w:id="27"/>
      </w:r>
      <w:r>
        <w:t xml:space="preserve"> </w:t>
      </w:r>
      <w:r w:rsidR="001F5CD8">
        <w:t>T</w:t>
      </w:r>
      <w:r>
        <w:t xml:space="preserve">he </w:t>
      </w:r>
      <w:r w:rsidR="001F5CD8" w:rsidRPr="001F5CD8">
        <w:rPr>
          <w:i/>
        </w:rPr>
        <w:t>Papers of James Madison</w:t>
      </w:r>
      <w:r>
        <w:t xml:space="preserve"> included the correspondence he was receiving as well as what he was sending</w:t>
      </w:r>
      <w:r w:rsidR="001F5CD8">
        <w:t>.</w:t>
      </w:r>
      <w:r>
        <w:t xml:space="preserve"> </w:t>
      </w:r>
      <w:r w:rsidR="001F5CD8">
        <w:t>This</w:t>
      </w:r>
      <w:r>
        <w:t xml:space="preserve"> greatly increased the understanding of the context of certain statements. The </w:t>
      </w:r>
      <w:r w:rsidR="001F5CD8" w:rsidRPr="001F5CD8">
        <w:rPr>
          <w:i/>
        </w:rPr>
        <w:t>History of the life and times of James Madison</w:t>
      </w:r>
      <w:r>
        <w:t xml:space="preserve">, while not specifically a primary source document, is </w:t>
      </w:r>
      <w:r w:rsidRPr="00C87F6B">
        <w:t>written by a contemporary of Madison.</w:t>
      </w:r>
      <w:r>
        <w:t xml:space="preserve"> Though I found evidence of a person named Mr. Rives meeting with Madison I cannot conclude that, no matter how likely, it was the same Mr. Rives. Rives was born when Madison was forty-two and lived concurrently with him for forty-three years. In writing about subjects concerning Madison’s work and words, Rives, as a contemporary, knew the culture and times. In addition, I </w:t>
      </w:r>
      <w:r w:rsidR="001F5CD8">
        <w:t>utilized</w:t>
      </w:r>
      <w:r>
        <w:t xml:space="preserve"> secondary sources and depended on them to point me towards the primary materials that I needed.</w:t>
      </w:r>
    </w:p>
    <w:p w:rsidR="00404092" w:rsidRDefault="00AF0938" w:rsidP="00C75504">
      <w:pPr>
        <w:tabs>
          <w:tab w:val="left" w:pos="720"/>
        </w:tabs>
        <w:spacing w:line="480" w:lineRule="auto"/>
        <w:contextualSpacing/>
      </w:pPr>
      <w:r>
        <w:tab/>
      </w:r>
      <w:r w:rsidR="001F5CD8">
        <w:t xml:space="preserve">Finally, </w:t>
      </w:r>
      <w:r>
        <w:t xml:space="preserve">I investigate </w:t>
      </w:r>
      <w:r w:rsidR="00404092">
        <w:t xml:space="preserve">the </w:t>
      </w:r>
      <w:r>
        <w:t xml:space="preserve">cultural dynamics </w:t>
      </w:r>
      <w:r w:rsidR="00404092">
        <w:t xml:space="preserve">of the time </w:t>
      </w:r>
      <w:r>
        <w:t xml:space="preserve">through the lens of </w:t>
      </w:r>
      <w:r w:rsidR="00404092">
        <w:t>Madison’s</w:t>
      </w:r>
      <w:r>
        <w:t xml:space="preserve"> </w:t>
      </w:r>
      <w:bookmarkStart w:id="13" w:name="_Hlk527546077"/>
      <w:r>
        <w:rPr>
          <w:i/>
        </w:rPr>
        <w:t>Memorial and Remonstrance</w:t>
      </w:r>
      <w:r>
        <w:t xml:space="preserve"> </w:t>
      </w:r>
      <w:bookmarkEnd w:id="13"/>
      <w:r>
        <w:t xml:space="preserve">where he disseminates an early and clear expression of his stance and understanding of the relationship between the state and the church. While his </w:t>
      </w:r>
      <w:r>
        <w:rPr>
          <w:i/>
        </w:rPr>
        <w:t>Detached Memorandum</w:t>
      </w:r>
      <w:r>
        <w:t xml:space="preserve"> also speaks to his stance on freedom of conscience, it was </w:t>
      </w:r>
      <w:r w:rsidR="00C81FF7">
        <w:t xml:space="preserve">not </w:t>
      </w:r>
      <w:r>
        <w:t xml:space="preserve">written prior to the Bill of Rights </w:t>
      </w:r>
      <w:r w:rsidR="00B76CF9">
        <w:t xml:space="preserve">and </w:t>
      </w:r>
      <w:r>
        <w:t xml:space="preserve">neither of the Justices in the </w:t>
      </w:r>
      <w:r w:rsidRPr="00E11CB3">
        <w:rPr>
          <w:i/>
        </w:rPr>
        <w:t>Everson</w:t>
      </w:r>
      <w:r>
        <w:t xml:space="preserve"> case reference </w:t>
      </w:r>
      <w:r w:rsidR="00404092">
        <w:t>it.</w:t>
      </w:r>
      <w:r>
        <w:t xml:space="preserve"> For these reasons I chose to limit the discussion to the </w:t>
      </w:r>
      <w:r w:rsidR="00404092" w:rsidRPr="00404092">
        <w:rPr>
          <w:i/>
        </w:rPr>
        <w:t>Memorial and Remonstrance</w:t>
      </w:r>
      <w:r w:rsidR="00404092">
        <w:rPr>
          <w:i/>
        </w:rPr>
        <w:t>.</w:t>
      </w:r>
      <w:r w:rsidR="00404092">
        <w:t xml:space="preserve"> </w:t>
      </w:r>
    </w:p>
    <w:p w:rsidR="00C75504" w:rsidRPr="000B0CA5" w:rsidRDefault="00404092" w:rsidP="00C75504">
      <w:pPr>
        <w:tabs>
          <w:tab w:val="left" w:pos="720"/>
        </w:tabs>
        <w:spacing w:line="480" w:lineRule="auto"/>
        <w:contextualSpacing/>
      </w:pPr>
      <w:r>
        <w:lastRenderedPageBreak/>
        <w:tab/>
      </w:r>
      <w:r w:rsidR="00C75504">
        <w:t xml:space="preserve">I am looking at the issue of the relationship between the church and the state through the lenses of two different disciplines: history and political science. </w:t>
      </w:r>
      <w:r w:rsidRPr="00404092">
        <w:t>While I utilize political science theories on judicial decision-making</w:t>
      </w:r>
      <w:r w:rsidRPr="00404092">
        <w:rPr>
          <w:i/>
        </w:rPr>
        <w:t xml:space="preserve"> </w:t>
      </w:r>
      <w:r>
        <w:t>f</w:t>
      </w:r>
      <w:r w:rsidR="00C75504">
        <w:t xml:space="preserve">or looking at the </w:t>
      </w:r>
      <w:r w:rsidR="00C75504" w:rsidRPr="00452BE3">
        <w:rPr>
          <w:i/>
        </w:rPr>
        <w:t>Everson</w:t>
      </w:r>
      <w:r w:rsidR="00C75504">
        <w:t xml:space="preserve"> decision, I use a synthesis of the </w:t>
      </w:r>
      <w:r w:rsidR="00C75504" w:rsidRPr="0072192C">
        <w:rPr>
          <w:rFonts w:eastAsia="Calibri" w:cs="Times New Roman"/>
        </w:rPr>
        <w:t xml:space="preserve">diachronic and synchronic </w:t>
      </w:r>
      <w:r>
        <w:rPr>
          <w:rFonts w:eastAsia="Calibri" w:cs="Times New Roman"/>
        </w:rPr>
        <w:t>histor</w:t>
      </w:r>
      <w:r w:rsidR="003A1FD5">
        <w:rPr>
          <w:rFonts w:eastAsia="Calibri" w:cs="Times New Roman"/>
        </w:rPr>
        <w:t>ical</w:t>
      </w:r>
      <w:r>
        <w:rPr>
          <w:rFonts w:eastAsia="Calibri" w:cs="Times New Roman"/>
        </w:rPr>
        <w:t xml:space="preserve"> </w:t>
      </w:r>
      <w:r w:rsidR="00C75504" w:rsidRPr="0072192C">
        <w:rPr>
          <w:rFonts w:eastAsia="Calibri" w:cs="Times New Roman"/>
        </w:rPr>
        <w:t>methods</w:t>
      </w:r>
      <w:r w:rsidR="00C75504">
        <w:rPr>
          <w:rFonts w:eastAsia="Calibri" w:cs="Times New Roman"/>
        </w:rPr>
        <w:t xml:space="preserve"> to research </w:t>
      </w:r>
      <w:r w:rsidR="000B0CA5">
        <w:rPr>
          <w:rFonts w:eastAsia="Calibri" w:cs="Times New Roman"/>
        </w:rPr>
        <w:t xml:space="preserve">both </w:t>
      </w:r>
      <w:r w:rsidR="00C75504">
        <w:rPr>
          <w:rFonts w:eastAsia="Calibri" w:cs="Times New Roman"/>
        </w:rPr>
        <w:t>the historical models</w:t>
      </w:r>
      <w:r w:rsidR="000B0CA5">
        <w:rPr>
          <w:rFonts w:eastAsia="Calibri" w:cs="Times New Roman"/>
        </w:rPr>
        <w:t xml:space="preserve"> and the </w:t>
      </w:r>
      <w:r w:rsidR="000B0CA5" w:rsidRPr="000B0CA5">
        <w:rPr>
          <w:rFonts w:eastAsia="Calibri" w:cs="Times New Roman"/>
          <w:i/>
        </w:rPr>
        <w:t>Everson</w:t>
      </w:r>
      <w:r w:rsidR="000B0CA5">
        <w:rPr>
          <w:rFonts w:eastAsia="Calibri" w:cs="Times New Roman"/>
        </w:rPr>
        <w:t xml:space="preserve"> decision</w:t>
      </w:r>
      <w:r w:rsidR="00C75504">
        <w:rPr>
          <w:rFonts w:eastAsia="Calibri" w:cs="Times New Roman"/>
        </w:rPr>
        <w:t>.</w:t>
      </w:r>
      <w:r w:rsidR="000B0CA5" w:rsidRPr="000B0CA5">
        <w:rPr>
          <w:rStyle w:val="FootnoteReference"/>
        </w:rPr>
        <w:t xml:space="preserve"> </w:t>
      </w:r>
      <w:r w:rsidR="000B0CA5">
        <w:rPr>
          <w:rStyle w:val="FootnoteReference"/>
        </w:rPr>
        <w:footnoteReference w:id="28"/>
      </w:r>
    </w:p>
    <w:p w:rsidR="00C75504" w:rsidRDefault="00C75504" w:rsidP="00C75504">
      <w:pPr>
        <w:tabs>
          <w:tab w:val="left" w:pos="720"/>
        </w:tabs>
        <w:spacing w:line="480" w:lineRule="auto"/>
        <w:contextualSpacing/>
        <w:rPr>
          <w:rFonts w:eastAsia="Calibri" w:cs="Times New Roman"/>
        </w:rPr>
      </w:pPr>
      <w:r>
        <w:rPr>
          <w:rFonts w:eastAsia="Calibri" w:cs="Times New Roman"/>
        </w:rPr>
        <w:tab/>
        <w:t xml:space="preserve">The diachronic method looks at change over time and is generally the accepted method used by those who are seeking the origin of an issue, problem or event. In this case it is tempting to look at the Reformation as the origin of the </w:t>
      </w:r>
      <w:r w:rsidR="002D34F0">
        <w:rPr>
          <w:rFonts w:eastAsia="Calibri" w:cs="Times New Roman"/>
        </w:rPr>
        <w:t>f</w:t>
      </w:r>
      <w:r>
        <w:rPr>
          <w:rFonts w:eastAsia="Calibri" w:cs="Times New Roman"/>
        </w:rPr>
        <w:t xml:space="preserve">ounding </w:t>
      </w:r>
      <w:r w:rsidR="002D34F0">
        <w:rPr>
          <w:rFonts w:eastAsia="Calibri" w:cs="Times New Roman"/>
        </w:rPr>
        <w:t>f</w:t>
      </w:r>
      <w:r>
        <w:rPr>
          <w:rFonts w:eastAsia="Calibri" w:cs="Times New Roman"/>
        </w:rPr>
        <w:t xml:space="preserve">ather’s inclusion of the Establishment Clause in the First Amendment. However, to do so may lead to some false conclusions and also falls outside the parameters that I established for this thesis. For my purpose, I am using the diachronic model to show the development of an alternate church </w:t>
      </w:r>
      <w:r w:rsidR="003242B8">
        <w:rPr>
          <w:rFonts w:eastAsia="Calibri" w:cs="Times New Roman"/>
        </w:rPr>
        <w:t xml:space="preserve">and </w:t>
      </w:r>
      <w:r>
        <w:rPr>
          <w:rFonts w:eastAsia="Calibri" w:cs="Times New Roman"/>
        </w:rPr>
        <w:t>state paradigm through confessionalism</w:t>
      </w:r>
      <w:r w:rsidR="000B0CA5">
        <w:rPr>
          <w:rFonts w:eastAsia="Calibri" w:cs="Times New Roman"/>
        </w:rPr>
        <w:t xml:space="preserve"> and how that led to what Madison would come to recognize as religious factionalism</w:t>
      </w:r>
      <w:r>
        <w:rPr>
          <w:rFonts w:eastAsia="Calibri" w:cs="Times New Roman"/>
        </w:rPr>
        <w:t xml:space="preserve">. </w:t>
      </w:r>
      <w:r w:rsidR="000B0CA5">
        <w:rPr>
          <w:rFonts w:eastAsia="Calibri" w:cs="Times New Roman"/>
        </w:rPr>
        <w:t>T</w:t>
      </w:r>
      <w:r>
        <w:rPr>
          <w:rFonts w:eastAsia="Calibri" w:cs="Times New Roman"/>
        </w:rPr>
        <w:t>here are those who will contend that the Reformation was not the sole genesis for that change. Wolfgang Reinhard notes there were a number of movements, like that of Jan Hus or John Wycliffe, that were attempting to purify the Catholic Church long before Martin Luther showed up with his hammer and nails.</w:t>
      </w:r>
      <w:r>
        <w:rPr>
          <w:rStyle w:val="FootnoteReference"/>
          <w:rFonts w:eastAsia="Calibri" w:cs="Times New Roman"/>
        </w:rPr>
        <w:footnoteReference w:id="29"/>
      </w:r>
      <w:r>
        <w:rPr>
          <w:rFonts w:eastAsia="Calibri" w:cs="Times New Roman"/>
        </w:rPr>
        <w:t xml:space="preserve"> However, the Reformation is one of the contributing factors and it is without question that the confessional rift between the Catholic Church and those </w:t>
      </w:r>
      <w:r>
        <w:rPr>
          <w:rFonts w:eastAsia="Calibri" w:cs="Times New Roman"/>
        </w:rPr>
        <w:lastRenderedPageBreak/>
        <w:t>who saw her traditions and some of her doctrines as problematic widened after the posting on the Wittenberg door.</w:t>
      </w:r>
    </w:p>
    <w:p w:rsidR="00397E9E" w:rsidRDefault="00C75504" w:rsidP="00C75504">
      <w:pPr>
        <w:tabs>
          <w:tab w:val="left" w:pos="720"/>
        </w:tabs>
        <w:spacing w:line="480" w:lineRule="auto"/>
        <w:contextualSpacing/>
        <w:rPr>
          <w:rFonts w:eastAsia="Calibri" w:cs="Times New Roman"/>
        </w:rPr>
      </w:pPr>
      <w:r>
        <w:rPr>
          <w:rFonts w:eastAsia="Calibri" w:cs="Times New Roman"/>
        </w:rPr>
        <w:tab/>
        <w:t>The synchronic model</w:t>
      </w:r>
      <w:r w:rsidRPr="00A661F8">
        <w:rPr>
          <w:rFonts w:eastAsia="Calibri" w:cs="Times New Roman"/>
        </w:rPr>
        <w:t xml:space="preserve"> </w:t>
      </w:r>
      <w:r>
        <w:rPr>
          <w:rFonts w:eastAsia="Calibri" w:cs="Times New Roman"/>
        </w:rPr>
        <w:t>is t</w:t>
      </w:r>
      <w:r w:rsidRPr="00A661F8">
        <w:rPr>
          <w:rFonts w:eastAsia="Calibri" w:cs="Times New Roman"/>
        </w:rPr>
        <w:t>he methodology that I will predominantly use for the historical portions of this thesis</w:t>
      </w:r>
      <w:r>
        <w:rPr>
          <w:rFonts w:eastAsia="Calibri" w:cs="Times New Roman"/>
        </w:rPr>
        <w:t xml:space="preserve">. This looks at snapshots in time to examine specific events within their cultural contexts. </w:t>
      </w:r>
      <w:r w:rsidR="00057EE7">
        <w:rPr>
          <w:rFonts w:eastAsia="Calibri" w:cs="Times New Roman"/>
        </w:rPr>
        <w:t xml:space="preserve">My first snapshot is </w:t>
      </w:r>
      <w:r w:rsidR="00397E9E">
        <w:rPr>
          <w:rFonts w:eastAsia="Calibri" w:cs="Times New Roman"/>
        </w:rPr>
        <w:t xml:space="preserve">James Madison </w:t>
      </w:r>
      <w:r w:rsidR="00057EE7">
        <w:rPr>
          <w:rFonts w:eastAsia="Calibri" w:cs="Times New Roman"/>
        </w:rPr>
        <w:t>and his enculturation</w:t>
      </w:r>
      <w:r w:rsidR="00397E9E">
        <w:rPr>
          <w:rFonts w:eastAsia="Calibri" w:cs="Times New Roman"/>
        </w:rPr>
        <w:t xml:space="preserve"> into a society that had certain understandings of their history and cultural beliefs. These things are important to </w:t>
      </w:r>
      <w:r w:rsidR="00057EE7">
        <w:rPr>
          <w:rFonts w:eastAsia="Calibri" w:cs="Times New Roman"/>
        </w:rPr>
        <w:t>understanding</w:t>
      </w:r>
      <w:r w:rsidR="00397E9E">
        <w:rPr>
          <w:rFonts w:eastAsia="Calibri" w:cs="Times New Roman"/>
        </w:rPr>
        <w:t xml:space="preserve"> Madison</w:t>
      </w:r>
      <w:r w:rsidR="00057EE7">
        <w:rPr>
          <w:rFonts w:eastAsia="Calibri" w:cs="Times New Roman"/>
        </w:rPr>
        <w:t>’s views</w:t>
      </w:r>
      <w:r w:rsidR="00397E9E">
        <w:rPr>
          <w:rFonts w:eastAsia="Calibri" w:cs="Times New Roman"/>
        </w:rPr>
        <w:t xml:space="preserve"> and his authorship of the Bill of Rights</w:t>
      </w:r>
      <w:r w:rsidR="00057EE7" w:rsidRPr="00057EE7">
        <w:rPr>
          <w:rFonts w:eastAsia="Calibri" w:cs="Times New Roman"/>
        </w:rPr>
        <w:t xml:space="preserve">, which in turn influences the judiciary’s consideration of </w:t>
      </w:r>
      <w:r w:rsidR="00731B26" w:rsidRPr="00057EE7">
        <w:rPr>
          <w:rFonts w:eastAsia="Calibri" w:cs="Times New Roman"/>
        </w:rPr>
        <w:t>modern-day</w:t>
      </w:r>
      <w:r w:rsidR="00057EE7" w:rsidRPr="00057EE7">
        <w:rPr>
          <w:rFonts w:eastAsia="Calibri" w:cs="Times New Roman"/>
        </w:rPr>
        <w:t xml:space="preserve"> church and state issues.</w:t>
      </w:r>
    </w:p>
    <w:p w:rsidR="00C75504" w:rsidRDefault="00397E9E" w:rsidP="00C75504">
      <w:pPr>
        <w:tabs>
          <w:tab w:val="left" w:pos="720"/>
        </w:tabs>
        <w:spacing w:line="480" w:lineRule="auto"/>
        <w:contextualSpacing/>
        <w:rPr>
          <w:rFonts w:eastAsia="Calibri" w:cs="Times New Roman"/>
        </w:rPr>
      </w:pPr>
      <w:r>
        <w:rPr>
          <w:rFonts w:eastAsia="Calibri" w:cs="Times New Roman"/>
        </w:rPr>
        <w:tab/>
      </w:r>
      <w:r w:rsidR="00057EE7">
        <w:rPr>
          <w:rFonts w:eastAsia="Calibri" w:cs="Times New Roman"/>
        </w:rPr>
        <w:t>My second snapshot is the Reformation</w:t>
      </w:r>
      <w:r w:rsidR="00731B26">
        <w:rPr>
          <w:rFonts w:eastAsia="Calibri" w:cs="Times New Roman"/>
        </w:rPr>
        <w:t xml:space="preserve"> and its development through confessionalism. Though Madison does not reference any specific event within the Early Modern period, he was clearly conversant with the historical significance of that event not only through his own study, but through the enlightenment authors he studied. He makes several general references to the Reformation in light of religious issues both in his </w:t>
      </w:r>
      <w:r w:rsidR="00731B26" w:rsidRPr="00731B26">
        <w:rPr>
          <w:rFonts w:eastAsia="Calibri" w:cs="Times New Roman"/>
          <w:i/>
        </w:rPr>
        <w:t>Memorial and Remonstrance</w:t>
      </w:r>
      <w:r w:rsidR="00731B26">
        <w:rPr>
          <w:rFonts w:eastAsia="Calibri" w:cs="Times New Roman"/>
        </w:rPr>
        <w:t xml:space="preserve"> and other writings. </w:t>
      </w:r>
      <w:r w:rsidR="00C75504">
        <w:rPr>
          <w:rFonts w:eastAsia="Calibri" w:cs="Times New Roman"/>
        </w:rPr>
        <w:t>In the case of the Reformation and subsequent confessional conflicts</w:t>
      </w:r>
      <w:r w:rsidR="00F4184E">
        <w:rPr>
          <w:rFonts w:eastAsia="Calibri" w:cs="Times New Roman"/>
        </w:rPr>
        <w:t>,</w:t>
      </w:r>
      <w:r w:rsidR="00C75504">
        <w:rPr>
          <w:rFonts w:eastAsia="Calibri" w:cs="Times New Roman"/>
        </w:rPr>
        <w:t xml:space="preserve"> I will look at the cultural concepts—such as apocalyptic fervor and corporate righteousness—which made confessional identity important and how those concepts created an atmosphere where confessional violence could flourish.</w:t>
      </w:r>
      <w:r>
        <w:rPr>
          <w:rFonts w:eastAsia="Calibri" w:cs="Times New Roman"/>
        </w:rPr>
        <w:t xml:space="preserve"> </w:t>
      </w:r>
      <w:r w:rsidR="00C75504">
        <w:rPr>
          <w:rFonts w:eastAsia="Calibri" w:cs="Times New Roman"/>
        </w:rPr>
        <w:t>In general, I am looking at the sixteenth century German estates. In each case I will endeavor to present how confessionalism led to the violence, what the states part was in that violence, and most importantly, how that violence affected the state to see why it is important to our discussion of the Establishment Clause.</w:t>
      </w:r>
    </w:p>
    <w:p w:rsidR="00476293" w:rsidRDefault="00731B26" w:rsidP="00C75504">
      <w:pPr>
        <w:tabs>
          <w:tab w:val="left" w:pos="720"/>
        </w:tabs>
        <w:spacing w:line="480" w:lineRule="auto"/>
        <w:contextualSpacing/>
        <w:rPr>
          <w:rFonts w:eastAsia="Calibri" w:cs="Times New Roman"/>
        </w:rPr>
        <w:sectPr w:rsidR="00476293" w:rsidSect="00F159B4">
          <w:footnotePr>
            <w:numRestart w:val="eachSect"/>
          </w:footnotePr>
          <w:type w:val="continuous"/>
          <w:pgSz w:w="12240" w:h="15840"/>
          <w:pgMar w:top="1440" w:right="1440" w:bottom="1440" w:left="2160" w:header="720" w:footer="1008" w:gutter="0"/>
          <w:cols w:space="720"/>
          <w:docGrid w:linePitch="360"/>
        </w:sectPr>
      </w:pPr>
      <w:r w:rsidRPr="00731B26">
        <w:rPr>
          <w:rFonts w:eastAsia="Calibri" w:cs="Times New Roman"/>
        </w:rPr>
        <w:lastRenderedPageBreak/>
        <w:tab/>
        <w:t xml:space="preserve">Once this foundation is firmly in place, I will address the </w:t>
      </w:r>
      <w:r w:rsidRPr="00731B26">
        <w:rPr>
          <w:rFonts w:eastAsia="Calibri" w:cs="Times New Roman"/>
          <w:i/>
        </w:rPr>
        <w:t>Everson</w:t>
      </w:r>
      <w:r w:rsidRPr="00731B26">
        <w:rPr>
          <w:rFonts w:eastAsia="Calibri" w:cs="Times New Roman"/>
        </w:rPr>
        <w:t xml:space="preserve"> case, which presents a specific snapshot of how Madison’s understanding of church and state relations is utilized by members of the U.S. Supreme Court. I will give a brief discussion of the context of 1947, what was going on at the time, and who Justice Hugo Black was when he relied upon Madison’s worldview to justify his decision in the </w:t>
      </w:r>
      <w:r w:rsidRPr="00731B26">
        <w:rPr>
          <w:rFonts w:eastAsia="Calibri" w:cs="Times New Roman"/>
          <w:i/>
        </w:rPr>
        <w:t>Everson</w:t>
      </w:r>
      <w:r w:rsidRPr="00731B26">
        <w:rPr>
          <w:rFonts w:eastAsia="Calibri" w:cs="Times New Roman"/>
        </w:rPr>
        <w:t xml:space="preserve"> case. Only once these are accomplished will I then turn to analysis of the </w:t>
      </w:r>
      <w:r w:rsidRPr="00731B26">
        <w:rPr>
          <w:rFonts w:eastAsia="Calibri" w:cs="Times New Roman"/>
          <w:i/>
        </w:rPr>
        <w:t>Everson</w:t>
      </w:r>
      <w:r w:rsidRPr="00731B26">
        <w:rPr>
          <w:rFonts w:eastAsia="Calibri" w:cs="Times New Roman"/>
        </w:rPr>
        <w:t xml:space="preserve"> opinions by comparing the contentions of the Justices to the context of Madison.</w:t>
      </w:r>
    </w:p>
    <w:p w:rsidR="009853CC" w:rsidRPr="00476293" w:rsidRDefault="00303CB5" w:rsidP="00476293">
      <w:pPr>
        <w:tabs>
          <w:tab w:val="left" w:pos="720"/>
        </w:tabs>
        <w:spacing w:line="480" w:lineRule="auto"/>
        <w:contextualSpacing/>
        <w:jc w:val="center"/>
      </w:pPr>
      <w:r>
        <w:rPr>
          <w:b/>
          <w:u w:val="single"/>
        </w:rPr>
        <w:lastRenderedPageBreak/>
        <w:t xml:space="preserve">CHAPTER </w:t>
      </w:r>
      <w:r w:rsidR="009853CC">
        <w:rPr>
          <w:b/>
          <w:u w:val="single"/>
        </w:rPr>
        <w:t>I</w:t>
      </w:r>
      <w:r w:rsidR="00CF3430">
        <w:rPr>
          <w:b/>
          <w:u w:val="single"/>
        </w:rPr>
        <w:t>I</w:t>
      </w:r>
    </w:p>
    <w:p w:rsidR="00FA564F" w:rsidRDefault="00FA564F" w:rsidP="00FA564F">
      <w:pPr>
        <w:tabs>
          <w:tab w:val="left" w:pos="720"/>
        </w:tabs>
        <w:spacing w:line="240" w:lineRule="auto"/>
        <w:contextualSpacing/>
        <w:rPr>
          <w:b/>
          <w:u w:val="single"/>
        </w:rPr>
      </w:pPr>
    </w:p>
    <w:p w:rsidR="00FA564F" w:rsidRDefault="00FA564F" w:rsidP="00FA564F">
      <w:pPr>
        <w:tabs>
          <w:tab w:val="left" w:pos="720"/>
        </w:tabs>
        <w:spacing w:line="480" w:lineRule="auto"/>
        <w:contextualSpacing/>
        <w:jc w:val="center"/>
      </w:pPr>
      <w:r w:rsidRPr="004D4587">
        <w:rPr>
          <w:b/>
          <w:u w:val="single"/>
        </w:rPr>
        <w:t>JAMES MADISON AND THE E</w:t>
      </w:r>
      <w:r>
        <w:rPr>
          <w:b/>
          <w:u w:val="single"/>
        </w:rPr>
        <w:t>STABLISHMENT CLAUSE</w:t>
      </w:r>
    </w:p>
    <w:p w:rsidR="00FA564F" w:rsidRDefault="00FA564F" w:rsidP="00FA564F">
      <w:pPr>
        <w:tabs>
          <w:tab w:val="left" w:pos="720"/>
        </w:tabs>
        <w:spacing w:line="480" w:lineRule="auto"/>
        <w:contextualSpacing/>
        <w:jc w:val="center"/>
      </w:pPr>
    </w:p>
    <w:p w:rsidR="00FA564F" w:rsidRDefault="00FA564F" w:rsidP="00FA564F">
      <w:pPr>
        <w:spacing w:line="480" w:lineRule="auto"/>
        <w:contextualSpacing/>
      </w:pPr>
      <w:r>
        <w:tab/>
      </w:r>
      <w:r w:rsidRPr="004E72B3">
        <w:t>When I was a much younger man</w:t>
      </w:r>
      <w:r w:rsidR="003A1FD5">
        <w:t>,</w:t>
      </w:r>
      <w:r w:rsidRPr="004E72B3">
        <w:t xml:space="preserve"> there was a joke that went around the church world that went something like this. There was a young preacher, just out of seminary that had a great zeal for God. One morning he decided that he was going to open the Bible and point to a verse and whatever that verse said, he was going to do. Flipping the pages of his Bible, he pointed to a verse and read</w:t>
      </w:r>
      <w:r w:rsidR="00694376">
        <w:t>,</w:t>
      </w:r>
      <w:r w:rsidRPr="004E72B3">
        <w:t xml:space="preserve"> “and Judas went out and hanged himself.”</w:t>
      </w:r>
      <w:r>
        <w:rPr>
          <w:rStyle w:val="FootnoteReference"/>
        </w:rPr>
        <w:footnoteReference w:id="30"/>
      </w:r>
      <w:r w:rsidRPr="004E72B3">
        <w:t xml:space="preserve"> Slightly flustered he tells God that</w:t>
      </w:r>
      <w:r>
        <w:t xml:space="preserve"> it</w:t>
      </w:r>
      <w:r w:rsidRPr="004E72B3">
        <w:t xml:space="preserve"> was just practice, flipped a few more pages and pointed to another verse and read, “go thou and do likewise.”</w:t>
      </w:r>
      <w:r>
        <w:rPr>
          <w:rStyle w:val="FootnoteReference"/>
        </w:rPr>
        <w:footnoteReference w:id="31"/>
      </w:r>
      <w:r w:rsidRPr="004E72B3">
        <w:t xml:space="preserve"> The point</w:t>
      </w:r>
      <w:r>
        <w:t xml:space="preserve"> of including this joke </w:t>
      </w:r>
      <w:r w:rsidR="009B6E8F">
        <w:t xml:space="preserve">here </w:t>
      </w:r>
      <w:r>
        <w:t>is to highlight how</w:t>
      </w:r>
      <w:r w:rsidRPr="004E72B3">
        <w:t xml:space="preserve"> taking things out of their context can have undesirable side effects. As I move forward in this thesis towards the </w:t>
      </w:r>
      <w:r w:rsidRPr="004E72B3">
        <w:rPr>
          <w:i/>
        </w:rPr>
        <w:t>Everson</w:t>
      </w:r>
      <w:r w:rsidRPr="004E72B3">
        <w:t xml:space="preserve"> decision and Justice Black’s use of originalism</w:t>
      </w:r>
      <w:r w:rsidR="003A1FD5">
        <w:t>,</w:t>
      </w:r>
      <w:r w:rsidRPr="004E72B3">
        <w:t xml:space="preserve"> it is important to recognize the cultural context </w:t>
      </w:r>
      <w:r w:rsidR="00F4184E">
        <w:t>from which</w:t>
      </w:r>
      <w:r w:rsidRPr="004E72B3">
        <w:t xml:space="preserve"> James Madison was working. Removing Madison </w:t>
      </w:r>
      <w:r>
        <w:t xml:space="preserve">and his authorship of the Bill of Rights </w:t>
      </w:r>
      <w:r w:rsidRPr="004E72B3">
        <w:t xml:space="preserve">from the cultural context that created his understanding of the church </w:t>
      </w:r>
      <w:r w:rsidR="003242B8">
        <w:t xml:space="preserve">and </w:t>
      </w:r>
      <w:r>
        <w:t>state relationship may, therefore, lead to improper conclusions in this area.</w:t>
      </w:r>
    </w:p>
    <w:p w:rsidR="00C83D2D" w:rsidRDefault="00C83D2D" w:rsidP="00FA564F">
      <w:pPr>
        <w:spacing w:line="480" w:lineRule="auto"/>
        <w:contextualSpacing/>
      </w:pPr>
    </w:p>
    <w:p w:rsidR="00C83D2D" w:rsidRDefault="00C83D2D" w:rsidP="00FA564F">
      <w:pPr>
        <w:spacing w:line="480" w:lineRule="auto"/>
        <w:contextualSpacing/>
      </w:pPr>
    </w:p>
    <w:p w:rsidR="00C83D2D" w:rsidRDefault="00C83D2D" w:rsidP="00FA564F">
      <w:pPr>
        <w:spacing w:line="480" w:lineRule="auto"/>
        <w:contextualSpacing/>
      </w:pPr>
    </w:p>
    <w:p w:rsidR="00C83D2D" w:rsidRDefault="00C83D2D" w:rsidP="00FA564F">
      <w:pPr>
        <w:spacing w:line="480" w:lineRule="auto"/>
        <w:contextualSpacing/>
      </w:pPr>
    </w:p>
    <w:p w:rsidR="00FA564F" w:rsidRDefault="00FA564F" w:rsidP="00FA564F">
      <w:pPr>
        <w:spacing w:line="480" w:lineRule="auto"/>
        <w:contextualSpacing/>
      </w:pPr>
    </w:p>
    <w:p w:rsidR="00FA564F" w:rsidRDefault="00FA564F" w:rsidP="00B40071">
      <w:pPr>
        <w:spacing w:line="480" w:lineRule="auto"/>
        <w:contextualSpacing/>
        <w:jc w:val="center"/>
        <w:rPr>
          <w:b/>
          <w:u w:val="single"/>
        </w:rPr>
      </w:pPr>
      <w:r w:rsidRPr="00F47E80">
        <w:rPr>
          <w:b/>
          <w:u w:val="single"/>
        </w:rPr>
        <w:lastRenderedPageBreak/>
        <w:t>The State of Madison’s America</w:t>
      </w:r>
    </w:p>
    <w:p w:rsidR="009B6E8F" w:rsidRPr="001D1114" w:rsidRDefault="009B6E8F" w:rsidP="00FA564F">
      <w:pPr>
        <w:spacing w:line="480" w:lineRule="auto"/>
        <w:contextualSpacing/>
      </w:pPr>
    </w:p>
    <w:p w:rsidR="003A6472" w:rsidRDefault="00FA564F" w:rsidP="00FA564F">
      <w:pPr>
        <w:spacing w:line="480" w:lineRule="auto"/>
        <w:contextualSpacing/>
      </w:pPr>
      <w:r>
        <w:tab/>
        <w:t>The first place to examine this context is in considering the condition of the country in the period leading up to the drafting of the Constitution and the drafting of the Bill of Rights. I begin by looking at Shays</w:t>
      </w:r>
      <w:r w:rsidR="00F4184E">
        <w:t>’</w:t>
      </w:r>
      <w:r>
        <w:t xml:space="preserve"> </w:t>
      </w:r>
      <w:r w:rsidR="00BC670B">
        <w:t>R</w:t>
      </w:r>
      <w:r>
        <w:t xml:space="preserve">ebellion. In </w:t>
      </w:r>
      <w:r w:rsidR="005E5B83">
        <w:t>January</w:t>
      </w:r>
      <w:r>
        <w:t xml:space="preserve"> of 178</w:t>
      </w:r>
      <w:r w:rsidR="0035032D">
        <w:t>7</w:t>
      </w:r>
      <w:r w:rsidR="00AA5764">
        <w:t xml:space="preserve"> a</w:t>
      </w:r>
      <w:r>
        <w:t xml:space="preserve"> group of armed rebels under the direction of Daniel Shays began a revolt against the state of Massachusetts for what they considered unfair practices in the process of collecting taxes and debt. Massachusetts had amassed a sizeable debt as a result of the American Revolution and instituted several taxes, including a property tax and a head tax, which placed a “disproportionate burden on farmers with small holdings,” especially because it was required to “be paid in </w:t>
      </w:r>
      <w:bookmarkStart w:id="14" w:name="_Hlk520726811"/>
      <w:r>
        <w:t>specie</w:t>
      </w:r>
      <w:bookmarkEnd w:id="14"/>
      <w:r>
        <w:t>.”</w:t>
      </w:r>
      <w:r>
        <w:rPr>
          <w:rStyle w:val="FootnoteReference"/>
        </w:rPr>
        <w:footnoteReference w:id="32"/>
      </w:r>
      <w:r>
        <w:t xml:space="preserve"> Many of the farmers were losing their properties to debt collection and numerous petitions to the courts and to lawmakers went unheeded. </w:t>
      </w:r>
    </w:p>
    <w:p w:rsidR="00FA564F" w:rsidRDefault="00FA564F" w:rsidP="003A6472">
      <w:pPr>
        <w:spacing w:line="480" w:lineRule="auto"/>
        <w:ind w:firstLine="720"/>
        <w:contextualSpacing/>
      </w:pPr>
      <w:r>
        <w:t>As frustration mounted, methods of seeking redress escalated until in August of 1786 “1,500 men forcibly prevented the Northampton court from meeting.”</w:t>
      </w:r>
      <w:r>
        <w:rPr>
          <w:rStyle w:val="FootnoteReference"/>
        </w:rPr>
        <w:footnoteReference w:id="33"/>
      </w:r>
      <w:r>
        <w:t xml:space="preserve"> In January of the following year, Daniel Shays and the small army he had gathered marched to Springfield where they intended to seize the federal armory. </w:t>
      </w:r>
      <w:r w:rsidR="001D0FD4">
        <w:t xml:space="preserve">At the time, </w:t>
      </w:r>
      <w:r w:rsidR="0035032D">
        <w:t>“</w:t>
      </w:r>
      <w:r w:rsidR="001D0FD4" w:rsidRPr="001D0FD4">
        <w:t>Congress had no direct taxing or coercive powers: it could request money and men from the separate states, but was dependent upon their voluntary compliance.”</w:t>
      </w:r>
      <w:r w:rsidR="001D0FD4" w:rsidRPr="001D0FD4">
        <w:rPr>
          <w:vertAlign w:val="superscript"/>
        </w:rPr>
        <w:footnoteReference w:id="34"/>
      </w:r>
      <w:r w:rsidR="001D0FD4" w:rsidRPr="001D0FD4">
        <w:t xml:space="preserve"> </w:t>
      </w:r>
      <w:r w:rsidRPr="00B0030B">
        <w:t xml:space="preserve">The governor </w:t>
      </w:r>
      <w:r w:rsidR="0035032D">
        <w:t xml:space="preserve">of Massachusetts </w:t>
      </w:r>
      <w:r w:rsidRPr="00B0030B">
        <w:t xml:space="preserve">ultimately recruited a special militia, </w:t>
      </w:r>
      <w:r w:rsidR="0035032D">
        <w:t xml:space="preserve">because the state was unable to </w:t>
      </w:r>
      <w:r w:rsidR="0035032D">
        <w:lastRenderedPageBreak/>
        <w:t>mobilize its militia</w:t>
      </w:r>
      <w:r w:rsidR="003A1FD5">
        <w:t>,</w:t>
      </w:r>
      <w:r w:rsidR="0035032D">
        <w:t xml:space="preserve"> and there was no help from the Confederation forthcoming. T</w:t>
      </w:r>
      <w:r w:rsidRPr="00B0030B">
        <w:t>he revolt was broken by early summer, 1787.</w:t>
      </w:r>
      <w:r>
        <w:t>”</w:t>
      </w:r>
      <w:r>
        <w:rPr>
          <w:rStyle w:val="FootnoteReference"/>
        </w:rPr>
        <w:footnoteReference w:id="35"/>
      </w:r>
    </w:p>
    <w:p w:rsidR="00FA564F" w:rsidRDefault="00FA564F" w:rsidP="00FA564F">
      <w:pPr>
        <w:tabs>
          <w:tab w:val="left" w:pos="720"/>
        </w:tabs>
        <w:spacing w:line="480" w:lineRule="auto"/>
        <w:contextualSpacing/>
      </w:pPr>
      <w:r>
        <w:tab/>
        <w:t>While the rebellion was unsuccessful, it did have an important side effect. Rachel Parker writes, “there is a general consensus that the revolt was an important stimulus in the movement toward drafting the Constitution.”</w:t>
      </w:r>
      <w:r>
        <w:rPr>
          <w:rStyle w:val="FootnoteReference"/>
        </w:rPr>
        <w:footnoteReference w:id="36"/>
      </w:r>
      <w:r>
        <w:t xml:space="preserve"> Over the course of the several years leading up to 1787</w:t>
      </w:r>
      <w:r w:rsidR="003A1FD5">
        <w:t>, prior to Shays’ rebellion,</w:t>
      </w:r>
      <w:r>
        <w:t xml:space="preserve"> there were several attempts to gain consensus between the states to amend the Articles of Confederation</w:t>
      </w:r>
      <w:r w:rsidR="001D0FD4">
        <w:t xml:space="preserve"> which served as the nation’s first constitution;</w:t>
      </w:r>
      <w:r>
        <w:t xml:space="preserve"> however, it was not until after </w:t>
      </w:r>
      <w:r w:rsidR="001D0FD4">
        <w:t>Shays</w:t>
      </w:r>
      <w:r w:rsidR="00F4184E">
        <w:t>’</w:t>
      </w:r>
      <w:r w:rsidR="001D0FD4">
        <w:t xml:space="preserve"> R</w:t>
      </w:r>
      <w:r>
        <w:t xml:space="preserve">ebellion was put down, that </w:t>
      </w:r>
      <w:r w:rsidR="003A1FD5">
        <w:t>more states chose to send delegates to</w:t>
      </w:r>
      <w:r>
        <w:t xml:space="preserve"> the convention.</w:t>
      </w:r>
      <w:r w:rsidRPr="00B0030B">
        <w:t xml:space="preserve"> </w:t>
      </w:r>
      <w:r>
        <w:t>Madison, recognizing the moment for what it was, in a letter written to George Washington to encourage him to lead the convention, referenced Shays</w:t>
      </w:r>
      <w:r w:rsidR="00F4184E">
        <w:t>’</w:t>
      </w:r>
      <w:r>
        <w:t xml:space="preserve"> rebellion, </w:t>
      </w:r>
    </w:p>
    <w:p w:rsidR="00FA564F" w:rsidRDefault="00FA564F" w:rsidP="00FA564F">
      <w:pPr>
        <w:tabs>
          <w:tab w:val="left" w:pos="720"/>
        </w:tabs>
        <w:spacing w:line="240" w:lineRule="auto"/>
        <w:ind w:left="720"/>
        <w:contextualSpacing/>
      </w:pPr>
      <w:r w:rsidRPr="00104689">
        <w:t xml:space="preserve">If the lessons which </w:t>
      </w:r>
      <w:r>
        <w:t xml:space="preserve">[the rebellion] </w:t>
      </w:r>
      <w:r w:rsidRPr="00104689">
        <w:t>inculcates should not work the proper impressions on the American public, it will be a proof that our case is desperate. Judging from the present temper and apparent views of our Assembly, I have some ground for leaning to the side of Hope</w:t>
      </w:r>
      <w:r>
        <w:t xml:space="preserve"> . . .</w:t>
      </w:r>
      <w:r w:rsidRPr="00104689">
        <w:t xml:space="preserve"> the Recommendation from Annapolis in favour </w:t>
      </w:r>
      <w:r>
        <w:t xml:space="preserve">(sic) </w:t>
      </w:r>
      <w:r w:rsidRPr="00104689">
        <w:t xml:space="preserve">of a general revision of the federal system was </w:t>
      </w:r>
      <w:r w:rsidRPr="00104689">
        <w:rPr>
          <w:i/>
          <w:iCs/>
        </w:rPr>
        <w:t>unanimously</w:t>
      </w:r>
      <w:r w:rsidRPr="00104689">
        <w:t xml:space="preserve"> agreed to. A bill for the purpose is now depending and in a form which attests the most federal spirit.</w:t>
      </w:r>
      <w:r>
        <w:rPr>
          <w:rStyle w:val="FootnoteReference"/>
        </w:rPr>
        <w:footnoteReference w:id="37"/>
      </w:r>
      <w:r>
        <w:t xml:space="preserve">  </w:t>
      </w:r>
    </w:p>
    <w:p w:rsidR="00FA564F" w:rsidRDefault="00FA564F" w:rsidP="00FA564F">
      <w:pPr>
        <w:tabs>
          <w:tab w:val="left" w:pos="720"/>
        </w:tabs>
        <w:spacing w:line="240" w:lineRule="auto"/>
        <w:contextualSpacing/>
      </w:pPr>
    </w:p>
    <w:p w:rsidR="00FA564F" w:rsidRDefault="00FA564F" w:rsidP="00FA564F">
      <w:pPr>
        <w:tabs>
          <w:tab w:val="left" w:pos="720"/>
        </w:tabs>
        <w:spacing w:line="240" w:lineRule="auto"/>
        <w:ind w:left="720"/>
        <w:contextualSpacing/>
      </w:pPr>
    </w:p>
    <w:p w:rsidR="00FA564F" w:rsidRDefault="00FA564F" w:rsidP="00FA564F">
      <w:pPr>
        <w:tabs>
          <w:tab w:val="left" w:pos="720"/>
        </w:tabs>
        <w:spacing w:line="480" w:lineRule="auto"/>
        <w:contextualSpacing/>
      </w:pPr>
      <w:r>
        <w:tab/>
        <w:t>Madison realized early on that there was a need for a stronger federal government</w:t>
      </w:r>
      <w:r w:rsidR="003A1FD5">
        <w:t>;</w:t>
      </w:r>
      <w:r w:rsidR="00A16CF7">
        <w:t xml:space="preserve"> however, care had to be taken not to replace </w:t>
      </w:r>
      <w:r w:rsidR="008944C5">
        <w:t xml:space="preserve">anarchy </w:t>
      </w:r>
      <w:r w:rsidR="003A1FD5">
        <w:t>with</w:t>
      </w:r>
      <w:r w:rsidR="00A16CF7">
        <w:t xml:space="preserve"> </w:t>
      </w:r>
      <w:r w:rsidR="002C2CF5">
        <w:t>tyranny</w:t>
      </w:r>
      <w:r>
        <w:t xml:space="preserve">. Almost immediately he set about informing himself in the nature of governments to garner which form of government would be conducive to the United States. Among those in favor of a </w:t>
      </w:r>
      <w:r>
        <w:lastRenderedPageBreak/>
        <w:t>Constitutional Convention</w:t>
      </w:r>
      <w:r w:rsidR="00F4184E">
        <w:t>,</w:t>
      </w:r>
      <w:r>
        <w:t xml:space="preserve"> Madison was perhaps the person most suited to the work of drafting the Constitution and the subsequent Bill of Rights. A voracious reader and ardent student of both history and politics</w:t>
      </w:r>
      <w:r w:rsidR="008944C5">
        <w:t>,</w:t>
      </w:r>
      <w:r>
        <w:t xml:space="preserve"> he possessed a depth and breadth of knowledge that spanned from the ancient texts of the Greek and Roman civilizations to the histories of both the Reformation and Enlightenment, among other subjects. The works of Aristotle, Locke, Rousseau, Voltaire, Luther, and others were not only </w:t>
      </w:r>
      <w:r w:rsidR="00865CB5">
        <w:t>the writings</w:t>
      </w:r>
      <w:r>
        <w:t xml:space="preserve"> that helped shape </w:t>
      </w:r>
      <w:r w:rsidR="008944C5">
        <w:t>his</w:t>
      </w:r>
      <w:r>
        <w:t xml:space="preserve"> world, but were also among the materials that Madison drew on in creating his conception government</w:t>
      </w:r>
      <w:r w:rsidR="00394109">
        <w:t xml:space="preserve">, a love for liberty, and an understanding of unalienable rights and faction which formed the basis for his ideas on a republican form of government. </w:t>
      </w:r>
    </w:p>
    <w:p w:rsidR="00394109" w:rsidRDefault="00394109" w:rsidP="00FA564F">
      <w:pPr>
        <w:tabs>
          <w:tab w:val="left" w:pos="720"/>
        </w:tabs>
        <w:spacing w:line="480" w:lineRule="auto"/>
        <w:contextualSpacing/>
      </w:pPr>
    </w:p>
    <w:p w:rsidR="00FA564F" w:rsidRDefault="00FA564F" w:rsidP="00B40071">
      <w:pPr>
        <w:tabs>
          <w:tab w:val="left" w:pos="720"/>
        </w:tabs>
        <w:spacing w:line="480" w:lineRule="auto"/>
        <w:contextualSpacing/>
        <w:jc w:val="center"/>
        <w:rPr>
          <w:b/>
          <w:u w:val="single"/>
        </w:rPr>
      </w:pPr>
      <w:r>
        <w:rPr>
          <w:b/>
          <w:u w:val="single"/>
        </w:rPr>
        <w:t>James Madison</w:t>
      </w:r>
    </w:p>
    <w:p w:rsidR="00394109" w:rsidRDefault="00394109" w:rsidP="00FA564F">
      <w:pPr>
        <w:tabs>
          <w:tab w:val="left" w:pos="720"/>
        </w:tabs>
        <w:spacing w:line="480" w:lineRule="auto"/>
        <w:contextualSpacing/>
      </w:pPr>
    </w:p>
    <w:p w:rsidR="003A6472" w:rsidRDefault="00FA564F" w:rsidP="00FA564F">
      <w:pPr>
        <w:tabs>
          <w:tab w:val="left" w:pos="720"/>
        </w:tabs>
        <w:spacing w:line="480" w:lineRule="auto"/>
        <w:contextualSpacing/>
      </w:pPr>
      <w:r>
        <w:tab/>
        <w:t>James Madison was born on March 16, 1751 to James Madison Senior and his wife Nelly. He spent his young life on his father’s plantation in Orange County Virginia and would later retire to his father’s beloved Montpelier. At the age of eighteen Madison entered into what was then called the College of New Jersey, now Princeton, and completed his studies in only two years, despite the detrimental effect that the work load had on his health. There, in addition to his intense studies, he was shaped and molded by John Witherspoon</w:t>
      </w:r>
      <w:r w:rsidRPr="00CF6297">
        <w:t xml:space="preserve"> and gained a friend and confidant in William Bradford.</w:t>
      </w:r>
      <w:r>
        <w:rPr>
          <w:rStyle w:val="FootnoteReference"/>
        </w:rPr>
        <w:footnoteReference w:id="38"/>
      </w:r>
      <w:r w:rsidR="000E23A9">
        <w:t xml:space="preserve"> </w:t>
      </w:r>
      <w:r w:rsidR="000E23A9" w:rsidRPr="001D0FD4">
        <w:t xml:space="preserve">Like many of </w:t>
      </w:r>
    </w:p>
    <w:p w:rsidR="00FA564F" w:rsidRDefault="000E23A9" w:rsidP="00FA564F">
      <w:pPr>
        <w:tabs>
          <w:tab w:val="left" w:pos="720"/>
        </w:tabs>
        <w:spacing w:line="480" w:lineRule="auto"/>
        <w:contextualSpacing/>
      </w:pPr>
      <w:r w:rsidRPr="001D0FD4">
        <w:lastRenderedPageBreak/>
        <w:t>his fellow students, Madison came out of college with a passion for liberty and an understanding of what was then called unalienable rights; rights endowed in man by his creator.</w:t>
      </w:r>
      <w:r w:rsidR="001D0FD4" w:rsidRPr="001D0FD4">
        <w:rPr>
          <w:rStyle w:val="FootnoteReference"/>
        </w:rPr>
        <w:footnoteReference w:id="39"/>
      </w:r>
    </w:p>
    <w:p w:rsidR="000E23A9" w:rsidRDefault="00FA564F" w:rsidP="00FA564F">
      <w:pPr>
        <w:tabs>
          <w:tab w:val="left" w:pos="720"/>
        </w:tabs>
        <w:spacing w:line="480" w:lineRule="auto"/>
        <w:contextualSpacing/>
      </w:pPr>
      <w:r>
        <w:tab/>
      </w:r>
      <w:r w:rsidR="000E23A9">
        <w:t xml:space="preserve">Gaillard </w:t>
      </w:r>
      <w:r>
        <w:t>Hunt writes that Madison was “a profoundly religious man.”</w:t>
      </w:r>
      <w:r>
        <w:rPr>
          <w:rStyle w:val="FootnoteReference"/>
        </w:rPr>
        <w:footnoteReference w:id="40"/>
      </w:r>
      <w:r>
        <w:t xml:space="preserve"> He notes that</w:t>
      </w:r>
      <w:r w:rsidR="008944C5">
        <w:t>,</w:t>
      </w:r>
      <w:r>
        <w:t xml:space="preserve"> on Madison’s return from Princeton in 1772</w:t>
      </w:r>
      <w:r w:rsidR="008944C5">
        <w:t>,</w:t>
      </w:r>
      <w:r>
        <w:t xml:space="preserve"> “</w:t>
      </w:r>
      <w:r w:rsidRPr="0099309A">
        <w:t>he plunged into religious studies, wrote commentaries on the gospels, and acquired an extensive knowledge of theological literature.</w:t>
      </w:r>
      <w:r>
        <w:t>”</w:t>
      </w:r>
      <w:r>
        <w:rPr>
          <w:rStyle w:val="FootnoteReference"/>
        </w:rPr>
        <w:footnoteReference w:id="41"/>
      </w:r>
      <w:r>
        <w:t xml:space="preserve"> </w:t>
      </w:r>
      <w:r w:rsidR="0035032D">
        <w:t xml:space="preserve">One </w:t>
      </w:r>
      <w:r w:rsidR="001D0FD4">
        <w:t>example</w:t>
      </w:r>
      <w:r w:rsidR="0035032D">
        <w:t xml:space="preserve"> of his religious bent is when</w:t>
      </w:r>
      <w:r w:rsidR="001D0FD4">
        <w:t xml:space="preserve"> </w:t>
      </w:r>
      <w:r>
        <w:t>Madison wrote to William Bradford on November 9</w:t>
      </w:r>
      <w:r w:rsidRPr="00713AF4">
        <w:rPr>
          <w:vertAlign w:val="superscript"/>
        </w:rPr>
        <w:t>th</w:t>
      </w:r>
      <w:r>
        <w:t xml:space="preserve"> 1772</w:t>
      </w:r>
      <w:r w:rsidR="00E77793">
        <w:t>,</w:t>
      </w:r>
      <w:r>
        <w:t xml:space="preserve"> “</w:t>
      </w:r>
      <w:r w:rsidRPr="00713AF4">
        <w:t>a watchful eye must be kept on ourselves, lest while we are building ideal monuments of renown and bliss here, we neglect to have our names enrolled in the annals of Heaven.</w:t>
      </w:r>
      <w:r>
        <w:t>”</w:t>
      </w:r>
      <w:r>
        <w:rPr>
          <w:rStyle w:val="FootnoteReference"/>
        </w:rPr>
        <w:footnoteReference w:id="42"/>
      </w:r>
      <w:r>
        <w:tab/>
      </w:r>
    </w:p>
    <w:p w:rsidR="00FA564F" w:rsidRDefault="00FA564F" w:rsidP="00FA564F">
      <w:pPr>
        <w:tabs>
          <w:tab w:val="left" w:pos="720"/>
        </w:tabs>
        <w:spacing w:line="480" w:lineRule="auto"/>
        <w:contextualSpacing/>
      </w:pPr>
      <w:r>
        <w:tab/>
        <w:t xml:space="preserve">Madison was </w:t>
      </w:r>
      <w:r w:rsidR="000E23A9">
        <w:t xml:space="preserve">also </w:t>
      </w:r>
      <w:r>
        <w:t>a pragmatic man. As a politician and a statesman Madison had to consider, not only what was the greatest good for the nation, but also what he was able to accomplish in the face of opposition from other legislators and the pressure from public sentiment. There are two examples of how Madison was pragmatic in areas of his public life. The first is in relation to slavery and the other is concerning the addition of a Bill of Rights to the Constitution</w:t>
      </w:r>
      <w:r w:rsidR="0095079B">
        <w:t>.</w:t>
      </w:r>
    </w:p>
    <w:p w:rsidR="0095079B" w:rsidRDefault="0095079B" w:rsidP="00FA564F">
      <w:pPr>
        <w:tabs>
          <w:tab w:val="left" w:pos="720"/>
        </w:tabs>
        <w:spacing w:line="480" w:lineRule="auto"/>
        <w:contextualSpacing/>
      </w:pPr>
    </w:p>
    <w:p w:rsidR="003A6472" w:rsidRDefault="003A6472" w:rsidP="00672FFB">
      <w:pPr>
        <w:tabs>
          <w:tab w:val="left" w:pos="720"/>
        </w:tabs>
        <w:spacing w:line="480" w:lineRule="auto"/>
        <w:contextualSpacing/>
        <w:jc w:val="center"/>
        <w:rPr>
          <w:b/>
          <w:u w:val="single"/>
        </w:rPr>
      </w:pPr>
    </w:p>
    <w:p w:rsidR="003A6472" w:rsidRDefault="003A6472" w:rsidP="00672FFB">
      <w:pPr>
        <w:tabs>
          <w:tab w:val="left" w:pos="720"/>
        </w:tabs>
        <w:spacing w:line="480" w:lineRule="auto"/>
        <w:contextualSpacing/>
        <w:jc w:val="center"/>
        <w:rPr>
          <w:b/>
          <w:u w:val="single"/>
        </w:rPr>
      </w:pPr>
    </w:p>
    <w:p w:rsidR="003A6472" w:rsidRDefault="003A6472" w:rsidP="00672FFB">
      <w:pPr>
        <w:tabs>
          <w:tab w:val="left" w:pos="720"/>
        </w:tabs>
        <w:spacing w:line="480" w:lineRule="auto"/>
        <w:contextualSpacing/>
        <w:jc w:val="center"/>
        <w:rPr>
          <w:b/>
          <w:u w:val="single"/>
        </w:rPr>
      </w:pPr>
    </w:p>
    <w:p w:rsidR="0095079B" w:rsidRDefault="0095079B" w:rsidP="00672FFB">
      <w:pPr>
        <w:tabs>
          <w:tab w:val="left" w:pos="720"/>
        </w:tabs>
        <w:spacing w:line="480" w:lineRule="auto"/>
        <w:contextualSpacing/>
        <w:jc w:val="center"/>
        <w:rPr>
          <w:b/>
          <w:u w:val="single"/>
        </w:rPr>
      </w:pPr>
      <w:r>
        <w:rPr>
          <w:b/>
          <w:u w:val="single"/>
        </w:rPr>
        <w:lastRenderedPageBreak/>
        <w:t>Pragmatism</w:t>
      </w:r>
    </w:p>
    <w:p w:rsidR="00C83D2D" w:rsidRPr="0095079B" w:rsidRDefault="00C83D2D" w:rsidP="00FA564F">
      <w:pPr>
        <w:tabs>
          <w:tab w:val="left" w:pos="720"/>
        </w:tabs>
        <w:spacing w:line="480" w:lineRule="auto"/>
        <w:contextualSpacing/>
        <w:rPr>
          <w:b/>
          <w:u w:val="single"/>
        </w:rPr>
      </w:pPr>
    </w:p>
    <w:p w:rsidR="00FA564F" w:rsidRDefault="00FA564F" w:rsidP="00FA564F">
      <w:pPr>
        <w:tabs>
          <w:tab w:val="left" w:pos="720"/>
        </w:tabs>
        <w:spacing w:line="480" w:lineRule="auto"/>
        <w:contextualSpacing/>
      </w:pPr>
      <w:r>
        <w:tab/>
      </w:r>
      <w:r w:rsidR="008944C5">
        <w:t>D</w:t>
      </w:r>
      <w:r>
        <w:t xml:space="preserve">espite the fact that </w:t>
      </w:r>
      <w:r w:rsidR="006A5F76">
        <w:t xml:space="preserve">he and </w:t>
      </w:r>
      <w:r>
        <w:t xml:space="preserve">his father were slave owners, </w:t>
      </w:r>
      <w:r w:rsidR="008944C5">
        <w:t xml:space="preserve">Madison </w:t>
      </w:r>
      <w:r>
        <w:t>deplored slavery. Sometime after 1784, and during his father’s lifetime, Madison took over possession of Montpelier, assuming the role of planter, and as Hunt says, the “unavoidable accompaniment of slave-holding.”</w:t>
      </w:r>
      <w:r>
        <w:rPr>
          <w:rStyle w:val="FootnoteReference"/>
        </w:rPr>
        <w:footnoteReference w:id="43"/>
      </w:r>
      <w:r>
        <w:t xml:space="preserve"> The position did not fit him well. “</w:t>
      </w:r>
      <w:r w:rsidRPr="001E5C26">
        <w:t>Another of my wishes</w:t>
      </w:r>
      <w:r>
        <w:t>,” he wrote to Edmund Randolph,</w:t>
      </w:r>
      <w:r w:rsidRPr="001E5C26">
        <w:t xml:space="preserve"> </w:t>
      </w:r>
      <w:r>
        <w:t>“</w:t>
      </w:r>
      <w:r w:rsidRPr="001E5C26">
        <w:t>is to depend as little as possible on the labour of slaves.</w:t>
      </w:r>
      <w:r>
        <w:t>”</w:t>
      </w:r>
      <w:r>
        <w:rPr>
          <w:rStyle w:val="FootnoteReference"/>
        </w:rPr>
        <w:footnoteReference w:id="44"/>
      </w:r>
      <w:r>
        <w:t xml:space="preserve"> He believed that slavery was a bane to the young country and that it was detrimental to society as a whole. Hunt writes that Madison very clearly understood that slavery was incompatible with democracy</w:t>
      </w:r>
      <w:r>
        <w:rPr>
          <w:rStyle w:val="FootnoteReference"/>
        </w:rPr>
        <w:footnoteReference w:id="45"/>
      </w:r>
      <w:r>
        <w:t xml:space="preserve"> </w:t>
      </w:r>
      <w:r w:rsidR="0035032D">
        <w:t>and</w:t>
      </w:r>
      <w:r>
        <w:t xml:space="preserve"> called the slave trade a “</w:t>
      </w:r>
      <w:r w:rsidRPr="00E5254E">
        <w:t>violation of the laws of humanity</w:t>
      </w:r>
      <w:r>
        <w:t>.”</w:t>
      </w:r>
      <w:r>
        <w:rPr>
          <w:rStyle w:val="FootnoteReference"/>
        </w:rPr>
        <w:footnoteReference w:id="46"/>
      </w:r>
      <w:r>
        <w:t xml:space="preserve"> In the </w:t>
      </w:r>
      <w:r>
        <w:rPr>
          <w:i/>
        </w:rPr>
        <w:t>Federalist Papers No.42</w:t>
      </w:r>
      <w:r>
        <w:t>, Madison says:</w:t>
      </w:r>
    </w:p>
    <w:p w:rsidR="00FA564F" w:rsidRDefault="00FA564F" w:rsidP="00FA564F">
      <w:pPr>
        <w:tabs>
          <w:tab w:val="left" w:pos="720"/>
        </w:tabs>
        <w:spacing w:line="240" w:lineRule="auto"/>
        <w:ind w:left="720"/>
        <w:contextualSpacing/>
      </w:pPr>
      <w:r w:rsidRPr="00C42538">
        <w:t xml:space="preserve">It ought to be considered as a great point gained in favor of humanity, that a period of twenty years may terminate forever, within these States, a traffic which has so long and so loudly </w:t>
      </w:r>
      <w:r w:rsidRPr="00C42538">
        <w:rPr>
          <w:i/>
        </w:rPr>
        <w:t>upbraided the barbarism of modern policy</w:t>
      </w:r>
      <w:r w:rsidRPr="00C42538">
        <w:t xml:space="preserve">; that within that period, it will receive a considerable discouragement from the federal government, and may be totally abolished, by a concurrence of the few States which continue the </w:t>
      </w:r>
      <w:r w:rsidRPr="00C42538">
        <w:rPr>
          <w:i/>
        </w:rPr>
        <w:t>unnatural traffic</w:t>
      </w:r>
      <w:r w:rsidRPr="00C42538">
        <w:t>, in the prohibitory example which has been given by so great a majority of the Union.</w:t>
      </w:r>
      <w:r>
        <w:rPr>
          <w:rStyle w:val="FootnoteReference"/>
        </w:rPr>
        <w:footnoteReference w:id="47"/>
      </w:r>
      <w:r>
        <w:t xml:space="preserve"> (emphasis added)</w:t>
      </w:r>
    </w:p>
    <w:p w:rsidR="00FA564F" w:rsidRDefault="00FA564F" w:rsidP="00FA564F">
      <w:pPr>
        <w:tabs>
          <w:tab w:val="left" w:pos="720"/>
        </w:tabs>
        <w:spacing w:line="240" w:lineRule="auto"/>
        <w:ind w:left="720"/>
        <w:contextualSpacing/>
      </w:pPr>
    </w:p>
    <w:p w:rsidR="00A857C3" w:rsidRDefault="00A857C3" w:rsidP="00FA564F">
      <w:pPr>
        <w:tabs>
          <w:tab w:val="left" w:pos="720"/>
        </w:tabs>
        <w:spacing w:line="240" w:lineRule="auto"/>
        <w:ind w:left="720"/>
        <w:contextualSpacing/>
      </w:pPr>
    </w:p>
    <w:p w:rsidR="000E23A9" w:rsidRDefault="00FA564F" w:rsidP="00FA564F">
      <w:pPr>
        <w:tabs>
          <w:tab w:val="left" w:pos="720"/>
        </w:tabs>
        <w:spacing w:line="480" w:lineRule="auto"/>
        <w:contextualSpacing/>
      </w:pPr>
      <w:r>
        <w:t>Madison hated slavery, and yet, when slavery was being discussed in the Constitutional Convention of 1787</w:t>
      </w:r>
      <w:r w:rsidR="008944C5">
        <w:t>,</w:t>
      </w:r>
      <w:r>
        <w:t xml:space="preserve"> he supported the inclusion of the slaves in the three-fifths clause. Like Jefferson, Madison understood that the “public mind would not bear” a proposition </w:t>
      </w:r>
      <w:r>
        <w:lastRenderedPageBreak/>
        <w:t>for emancipation</w:t>
      </w:r>
      <w:r>
        <w:rPr>
          <w:rStyle w:val="FootnoteReference"/>
        </w:rPr>
        <w:footnoteReference w:id="48"/>
      </w:r>
      <w:r>
        <w:t xml:space="preserve"> and</w:t>
      </w:r>
      <w:r w:rsidR="008944C5">
        <w:t>,</w:t>
      </w:r>
      <w:r>
        <w:t xml:space="preserve"> if they were to succeed in bringing a republican form of government into being</w:t>
      </w:r>
      <w:r w:rsidR="008944C5">
        <w:t>,</w:t>
      </w:r>
      <w:r>
        <w:t xml:space="preserve"> it required the participation of all of the states. If they did not find a compromise in relation to slavery</w:t>
      </w:r>
      <w:r w:rsidR="008944C5">
        <w:t>,</w:t>
      </w:r>
      <w:r>
        <w:t xml:space="preserve"> there would be </w:t>
      </w:r>
      <w:r w:rsidR="008944C5">
        <w:t>some</w:t>
      </w:r>
      <w:r>
        <w:t xml:space="preserve"> Southern States wh</w:t>
      </w:r>
      <w:r w:rsidR="008944C5">
        <w:t>o would not</w:t>
      </w:r>
      <w:r>
        <w:t xml:space="preserve"> join in, </w:t>
      </w:r>
      <w:r w:rsidR="000E23A9">
        <w:t xml:space="preserve">and </w:t>
      </w:r>
      <w:r>
        <w:t>no new Constitution.</w:t>
      </w:r>
    </w:p>
    <w:p w:rsidR="00FA564F" w:rsidRDefault="00FA564F" w:rsidP="00FA564F">
      <w:pPr>
        <w:tabs>
          <w:tab w:val="left" w:pos="720"/>
        </w:tabs>
        <w:spacing w:line="480" w:lineRule="auto"/>
        <w:contextualSpacing/>
      </w:pPr>
      <w:r>
        <w:tab/>
        <w:t>In regards to the Bill of Rights, Madison made it clear from the beginning that he saw no necessity for a bill of rights to be drafted. The Constitution gave no powers to the federal government against which a bill of rights would be necessary. But more importantly, he believed that inclusion of a bill of rights would “complicate the process of ratification of the Constitution.”</w:t>
      </w:r>
      <w:r>
        <w:rPr>
          <w:rStyle w:val="FootnoteReference"/>
        </w:rPr>
        <w:footnoteReference w:id="49"/>
      </w:r>
      <w:r>
        <w:t xml:space="preserve"> When anti-federalists began to attack the proposed constitution on the basis of its lack of a bill of rights</w:t>
      </w:r>
      <w:r w:rsidR="008944C5">
        <w:t>,</w:t>
      </w:r>
      <w:r>
        <w:t xml:space="preserve"> Madison relented and promised a list of rights to be submitted to Congress after ratification. An October 17</w:t>
      </w:r>
      <w:r w:rsidRPr="002503AC">
        <w:rPr>
          <w:vertAlign w:val="superscript"/>
        </w:rPr>
        <w:t>th</w:t>
      </w:r>
      <w:r>
        <w:t xml:space="preserve"> letter to Thomas Jefferson succinctly conveys Madison’s stance on the subject:</w:t>
      </w:r>
    </w:p>
    <w:p w:rsidR="00FA564F" w:rsidRDefault="00FA564F" w:rsidP="00FA564F">
      <w:pPr>
        <w:tabs>
          <w:tab w:val="left" w:pos="720"/>
        </w:tabs>
        <w:spacing w:line="240" w:lineRule="auto"/>
        <w:ind w:left="720"/>
        <w:contextualSpacing/>
      </w:pPr>
      <w:r w:rsidRPr="002503AC">
        <w:t xml:space="preserve">My own opinion has always been in favor of a bill of rights; provided it be so framed as not to imply powers not meant to be included in the enumeration. At the same time, I have never thought the omission a material defect, nor been anxious to supply it even by </w:t>
      </w:r>
      <w:r w:rsidRPr="002503AC">
        <w:rPr>
          <w:i/>
          <w:iCs/>
        </w:rPr>
        <w:t>subsequent</w:t>
      </w:r>
      <w:r w:rsidRPr="002503AC">
        <w:t xml:space="preserve"> amendment, for any other reason than that it is anxiously desired by others.</w:t>
      </w:r>
      <w:r>
        <w:rPr>
          <w:rStyle w:val="FootnoteReference"/>
        </w:rPr>
        <w:footnoteReference w:id="50"/>
      </w:r>
    </w:p>
    <w:p w:rsidR="00FA564F" w:rsidRDefault="00FA564F" w:rsidP="00FA564F">
      <w:pPr>
        <w:tabs>
          <w:tab w:val="left" w:pos="720"/>
        </w:tabs>
        <w:spacing w:line="480" w:lineRule="auto"/>
        <w:contextualSpacing/>
        <w:rPr>
          <w:b/>
          <w:u w:val="single"/>
        </w:rPr>
      </w:pPr>
    </w:p>
    <w:p w:rsidR="000E23A9" w:rsidRDefault="00FA564F" w:rsidP="00FA564F">
      <w:pPr>
        <w:tabs>
          <w:tab w:val="left" w:pos="720"/>
        </w:tabs>
        <w:spacing w:line="480" w:lineRule="auto"/>
        <w:contextualSpacing/>
      </w:pPr>
      <w:r>
        <w:t>The key phrase in this quote is that others have “anxiously desired it.” In both situations, despite Madison deploring slavery and failing to see the necessity of a bill of rights, he acquiesced to the expediency of the situation to accomplish what he considered the greater good, that of instituting a republican form of government in the United States.</w:t>
      </w:r>
      <w:r w:rsidRPr="00784432">
        <w:t xml:space="preserve"> </w:t>
      </w:r>
    </w:p>
    <w:p w:rsidR="00B40071" w:rsidRDefault="00B40071" w:rsidP="00FA564F">
      <w:pPr>
        <w:tabs>
          <w:tab w:val="left" w:pos="720"/>
        </w:tabs>
        <w:spacing w:line="480" w:lineRule="auto"/>
        <w:contextualSpacing/>
      </w:pPr>
    </w:p>
    <w:p w:rsidR="00736ED5" w:rsidRPr="00736ED5" w:rsidRDefault="00736ED5" w:rsidP="00B40071">
      <w:pPr>
        <w:tabs>
          <w:tab w:val="left" w:pos="720"/>
        </w:tabs>
        <w:spacing w:line="480" w:lineRule="auto"/>
        <w:contextualSpacing/>
        <w:jc w:val="center"/>
        <w:rPr>
          <w:b/>
          <w:u w:val="single"/>
        </w:rPr>
      </w:pPr>
      <w:r w:rsidRPr="00736ED5">
        <w:rPr>
          <w:b/>
          <w:u w:val="single"/>
        </w:rPr>
        <w:lastRenderedPageBreak/>
        <w:t>Liberty and the Republican Form of Government</w:t>
      </w:r>
    </w:p>
    <w:p w:rsidR="00736ED5" w:rsidRPr="00736ED5" w:rsidRDefault="00736ED5" w:rsidP="00736ED5">
      <w:pPr>
        <w:tabs>
          <w:tab w:val="left" w:pos="720"/>
        </w:tabs>
        <w:spacing w:line="480" w:lineRule="auto"/>
        <w:contextualSpacing/>
        <w:rPr>
          <w:b/>
          <w:u w:val="single"/>
        </w:rPr>
      </w:pPr>
    </w:p>
    <w:p w:rsidR="00736ED5" w:rsidRPr="00736ED5" w:rsidRDefault="00736ED5" w:rsidP="00736ED5">
      <w:pPr>
        <w:tabs>
          <w:tab w:val="left" w:pos="720"/>
        </w:tabs>
        <w:spacing w:line="480" w:lineRule="auto"/>
        <w:contextualSpacing/>
      </w:pPr>
      <w:r w:rsidRPr="00736ED5">
        <w:tab/>
        <w:t>Madison believe</w:t>
      </w:r>
      <w:r w:rsidR="008944C5">
        <w:t>d</w:t>
      </w:r>
      <w:r w:rsidRPr="00736ED5">
        <w:t xml:space="preserve"> in liberty. He was a tireless worker towards a goal of creating a government for the United States that preserved the liberty of the people. He was indefatigable in his pursuit of the republican form of government. Yet, he was also a pragmatic man who, in his drive to establish the federal government, was willing to do whatever was necessary to gain a consensus and lay the foundation for what he believed was best for this country. </w:t>
      </w:r>
    </w:p>
    <w:p w:rsidR="00C83D2D" w:rsidRDefault="00736ED5" w:rsidP="00736ED5">
      <w:pPr>
        <w:tabs>
          <w:tab w:val="left" w:pos="720"/>
        </w:tabs>
        <w:spacing w:line="480" w:lineRule="auto"/>
        <w:contextualSpacing/>
      </w:pPr>
      <w:r w:rsidRPr="00736ED5">
        <w:tab/>
        <w:t>Madison’s conception of liberty flows from both John Witherspoon and John Locke.</w:t>
      </w:r>
      <w:r w:rsidRPr="00736ED5">
        <w:rPr>
          <w:vertAlign w:val="superscript"/>
        </w:rPr>
        <w:footnoteReference w:id="51"/>
      </w:r>
      <w:r w:rsidRPr="00736ED5">
        <w:t xml:space="preserve"> From Witherspoon comes Madison’s ideas on rights which Witherspoon claimed could be either “natural or acquired.”</w:t>
      </w:r>
      <w:r w:rsidRPr="00736ED5">
        <w:rPr>
          <w:vertAlign w:val="superscript"/>
        </w:rPr>
        <w:footnoteReference w:id="52"/>
      </w:r>
      <w:r w:rsidRPr="00736ED5">
        <w:t xml:space="preserve"> </w:t>
      </w:r>
      <w:r w:rsidR="00C203BD" w:rsidRPr="00C203BD">
        <w:t>Witherspoon’s theories on natural rights are similar to Locke’s</w:t>
      </w:r>
      <w:r w:rsidR="008944C5">
        <w:t>,</w:t>
      </w:r>
      <w:r w:rsidR="00C203BD" w:rsidRPr="00C203BD">
        <w:t xml:space="preserve"> and it is fully within the realm of possibility that he drew his beliefs from that source, but as Madison’s mentor he was bound to be more influential. Witherspoon begins with this</w:t>
      </w:r>
      <w:r w:rsidR="00E77793">
        <w:t>:</w:t>
      </w:r>
      <w:r w:rsidR="00C203BD" w:rsidRPr="00C203BD">
        <w:t xml:space="preserve"> “men are originally and by nature equal, and consequently free.”</w:t>
      </w:r>
      <w:r w:rsidR="00C203BD" w:rsidRPr="00C203BD">
        <w:rPr>
          <w:vertAlign w:val="superscript"/>
        </w:rPr>
        <w:footnoteReference w:id="53"/>
      </w:r>
      <w:r w:rsidR="00C203BD" w:rsidRPr="00C203BD">
        <w:t xml:space="preserve"> He enumerates eight things in which he determines that man has a natural right including the right to life, personal liberty, the right of private judgement in matters of opinion, and the right to associate with any person he chooses.</w:t>
      </w:r>
      <w:r w:rsidR="00C203BD" w:rsidRPr="00C203BD">
        <w:rPr>
          <w:vertAlign w:val="superscript"/>
        </w:rPr>
        <w:footnoteReference w:id="54"/>
      </w:r>
      <w:r w:rsidR="00C203BD" w:rsidRPr="00C203BD">
        <w:t xml:space="preserve"> Witherspoon includes the right for a man to use his industry as he pleases and his conception of property, as a </w:t>
      </w:r>
    </w:p>
    <w:p w:rsidR="00C203BD" w:rsidRDefault="00C203BD" w:rsidP="00736ED5">
      <w:pPr>
        <w:tabs>
          <w:tab w:val="left" w:pos="720"/>
        </w:tabs>
        <w:spacing w:line="480" w:lineRule="auto"/>
        <w:contextualSpacing/>
      </w:pPr>
      <w:r w:rsidRPr="00C203BD">
        <w:lastRenderedPageBreak/>
        <w:t>right, comes from that labor a man spends to produce it. Madison takes this further, finding that the right of opinion, especially where freedom of conscience is concerned is part of a man’s property and as such it is a natural right.</w:t>
      </w:r>
      <w:r w:rsidRPr="00C203BD">
        <w:rPr>
          <w:vertAlign w:val="superscript"/>
        </w:rPr>
        <w:footnoteReference w:id="55"/>
      </w:r>
      <w:r w:rsidRPr="00C203BD">
        <w:t xml:space="preserve"> </w:t>
      </w:r>
    </w:p>
    <w:p w:rsidR="00C203BD" w:rsidRDefault="00C203BD" w:rsidP="00736ED5">
      <w:pPr>
        <w:tabs>
          <w:tab w:val="left" w:pos="720"/>
        </w:tabs>
        <w:spacing w:line="480" w:lineRule="auto"/>
        <w:contextualSpacing/>
      </w:pPr>
      <w:r>
        <w:tab/>
      </w:r>
      <w:r w:rsidRPr="00C203BD">
        <w:t xml:space="preserve">Madison’s concept of unalienable rights </w:t>
      </w:r>
      <w:r w:rsidR="00E77793">
        <w:t xml:space="preserve">also </w:t>
      </w:r>
      <w:r>
        <w:t>comes</w:t>
      </w:r>
      <w:r w:rsidRPr="00C203BD">
        <w:t xml:space="preserve"> from Locke’s concept of natural rights. All men, in a state of nature, are in “a state of perfect freedom to order their actions, and dispose of their possessions and persons, as they think fit, within the bounds of the law of nature, without asking leave, or depending upon the will of any other man.”</w:t>
      </w:r>
      <w:r w:rsidRPr="00C203BD">
        <w:rPr>
          <w:vertAlign w:val="superscript"/>
        </w:rPr>
        <w:footnoteReference w:id="56"/>
      </w:r>
      <w:r w:rsidRPr="00C203BD">
        <w:t xml:space="preserve"> At the same time, Locke leaves no room for license to infringe another’s liberty saying, a man “when his own preservation comes not in competition, ought he, as much as he can, to preserve the rest of mankind, and may not . . . take away, or impair the life, or what tends to the preservation of the life, the liberty, health, limb, or goods of another.</w:t>
      </w:r>
      <w:r w:rsidR="00E77793">
        <w:t>”</w:t>
      </w:r>
      <w:r w:rsidR="00E77793">
        <w:rPr>
          <w:rStyle w:val="FootnoteReference"/>
        </w:rPr>
        <w:footnoteReference w:id="57"/>
      </w:r>
      <w:r w:rsidRPr="00C203BD">
        <w:t xml:space="preserve"> It is a fair assessment that Madison derived much of his concepts of freedom of conscience from Locke’s theories</w:t>
      </w:r>
      <w:r w:rsidR="00BC670B">
        <w:t>.</w:t>
      </w:r>
    </w:p>
    <w:p w:rsidR="00736ED5" w:rsidRDefault="00736ED5" w:rsidP="00736ED5">
      <w:pPr>
        <w:tabs>
          <w:tab w:val="left" w:pos="720"/>
        </w:tabs>
        <w:spacing w:line="480" w:lineRule="auto"/>
        <w:contextualSpacing/>
      </w:pPr>
      <w:r w:rsidRPr="00736ED5">
        <w:tab/>
        <w:t>Locke’s theories stem partly from his conception of property. A man’s thoughts, beliefs and ideas are part of what makes up his property, defined as that “dominion which one man claims . . . in exclusion of every other individual.”</w:t>
      </w:r>
      <w:r w:rsidRPr="00736ED5">
        <w:rPr>
          <w:vertAlign w:val="superscript"/>
        </w:rPr>
        <w:footnoteReference w:id="58"/>
      </w:r>
      <w:r w:rsidRPr="00736ED5">
        <w:t xml:space="preserve"> Nature provided the necessary things for man’s survival; “gives us property,” all things being given in common to man. What separated out specific things to be the property of one man over another, to Locke, was the labor that each man bestowed on the thing.</w:t>
      </w:r>
      <w:r w:rsidRPr="00736ED5">
        <w:rPr>
          <w:vertAlign w:val="superscript"/>
        </w:rPr>
        <w:footnoteReference w:id="59"/>
      </w:r>
      <w:r w:rsidRPr="00736ED5">
        <w:t xml:space="preserve"> That having been </w:t>
      </w:r>
      <w:r w:rsidRPr="00736ED5">
        <w:lastRenderedPageBreak/>
        <w:t>done, within reason, that thing, whether land, crops, or any other thing became “perfectly his own, and did not belong in common to others.”</w:t>
      </w:r>
      <w:r w:rsidRPr="00736ED5">
        <w:rPr>
          <w:vertAlign w:val="superscript"/>
        </w:rPr>
        <w:footnoteReference w:id="60"/>
      </w:r>
      <w:r w:rsidRPr="00736ED5">
        <w:t xml:space="preserve"> The purpose</w:t>
      </w:r>
      <w:r w:rsidR="00C203BD">
        <w:t>,</w:t>
      </w:r>
      <w:r w:rsidRPr="00736ED5">
        <w:t xml:space="preserve"> then</w:t>
      </w:r>
      <w:r w:rsidR="00C203BD">
        <w:t>,</w:t>
      </w:r>
      <w:r w:rsidRPr="00736ED5">
        <w:t xml:space="preserve"> of entering into the social contract and giving up some of those rights and freedoms that all men enjoy in the natural state</w:t>
      </w:r>
      <w:r w:rsidR="006854FB">
        <w:t>,</w:t>
      </w:r>
      <w:r w:rsidRPr="00736ED5">
        <w:t xml:space="preserve"> is the preservation of one’s property, for in the state of nature </w:t>
      </w:r>
      <w:r w:rsidR="006854FB">
        <w:t>“</w:t>
      </w:r>
      <w:r w:rsidRPr="00736ED5">
        <w:t>there is no security in the enjoyment of property.</w:t>
      </w:r>
      <w:r w:rsidR="006854FB">
        <w:t>”</w:t>
      </w:r>
      <w:r w:rsidRPr="00736ED5">
        <w:t xml:space="preserve"> Men, therefore, join in societies for the “mutual preservation of their lives, liberties, and estates;” namely their property.</w:t>
      </w:r>
      <w:r w:rsidRPr="00736ED5">
        <w:rPr>
          <w:vertAlign w:val="superscript"/>
        </w:rPr>
        <w:footnoteReference w:id="61"/>
      </w:r>
      <w:r w:rsidR="003304D7" w:rsidRPr="003304D7">
        <w:t xml:space="preserve"> Both Locke and Witherspoon recognize that there was an existence of man prior to the social contract in which persons, as Witherspoon phrases it, “deliver up or abridge some part of their natural rights in order to have the strength of the united body to protect the remaining and to bestow others.”</w:t>
      </w:r>
      <w:r w:rsidR="003304D7" w:rsidRPr="003304D7">
        <w:rPr>
          <w:vertAlign w:val="superscript"/>
        </w:rPr>
        <w:footnoteReference w:id="62"/>
      </w:r>
    </w:p>
    <w:p w:rsidR="00C203BD" w:rsidRPr="00736ED5" w:rsidRDefault="00C203BD" w:rsidP="00736ED5">
      <w:pPr>
        <w:tabs>
          <w:tab w:val="left" w:pos="720"/>
        </w:tabs>
        <w:spacing w:line="480" w:lineRule="auto"/>
        <w:contextualSpacing/>
      </w:pPr>
      <w:r w:rsidRPr="00C203BD">
        <w:tab/>
        <w:t xml:space="preserve">Within Madison’s writings is the bill that </w:t>
      </w:r>
      <w:r w:rsidR="008944C5">
        <w:t>George Mason</w:t>
      </w:r>
      <w:r w:rsidRPr="00C203BD">
        <w:t xml:space="preserve"> presented in the Virginia convention to establish their Bill of Rights and their plan of government. Madison was on the committee to draft a bill that was to be voted on as the document that was to establish Virginia as an independent state from Great Britain. His influence is clear. The phrase “all men are born equally free and independent, and have certain inherent natural rights, of which they cannot, by any compact, deprive their posterity” is indicative of both Locke and Witherspoon and likely came through Madison.</w:t>
      </w:r>
      <w:r w:rsidRPr="00C203BD">
        <w:rPr>
          <w:vertAlign w:val="superscript"/>
        </w:rPr>
        <w:footnoteReference w:id="63"/>
      </w:r>
      <w:r w:rsidRPr="00C203BD">
        <w:t xml:space="preserve"> </w:t>
      </w:r>
    </w:p>
    <w:p w:rsidR="00736ED5" w:rsidRPr="00736ED5" w:rsidRDefault="00736ED5" w:rsidP="00736ED5">
      <w:pPr>
        <w:tabs>
          <w:tab w:val="left" w:pos="720"/>
        </w:tabs>
        <w:spacing w:line="480" w:lineRule="auto"/>
        <w:contextualSpacing/>
      </w:pPr>
      <w:r w:rsidRPr="00736ED5">
        <w:tab/>
        <w:t xml:space="preserve">Robert Morgan explains that for Madison, the end purpose of a government was </w:t>
      </w:r>
    </w:p>
    <w:p w:rsidR="00736ED5" w:rsidRDefault="00736ED5" w:rsidP="00736ED5">
      <w:pPr>
        <w:tabs>
          <w:tab w:val="left" w:pos="720"/>
        </w:tabs>
        <w:spacing w:line="480" w:lineRule="auto"/>
        <w:contextualSpacing/>
      </w:pPr>
      <w:r w:rsidRPr="00736ED5">
        <w:lastRenderedPageBreak/>
        <w:t>to protect “property of every sort, a concept he draws directly from Locke.”</w:t>
      </w:r>
      <w:r w:rsidRPr="00736ED5">
        <w:rPr>
          <w:vertAlign w:val="superscript"/>
        </w:rPr>
        <w:footnoteReference w:id="64"/>
      </w:r>
      <w:r w:rsidRPr="00736ED5">
        <w:t xml:space="preserve"> Madison wrote on the issues of property and specifically how that equates to religion. Property is:</w:t>
      </w:r>
    </w:p>
    <w:p w:rsidR="009874E4" w:rsidRPr="00736ED5" w:rsidRDefault="009874E4" w:rsidP="00736ED5">
      <w:pPr>
        <w:tabs>
          <w:tab w:val="left" w:pos="720"/>
        </w:tabs>
        <w:spacing w:line="480" w:lineRule="auto"/>
        <w:contextualSpacing/>
      </w:pPr>
    </w:p>
    <w:p w:rsidR="00736ED5" w:rsidRDefault="00736ED5" w:rsidP="009874E4">
      <w:pPr>
        <w:tabs>
          <w:tab w:val="left" w:pos="720"/>
        </w:tabs>
        <w:spacing w:line="240" w:lineRule="auto"/>
        <w:ind w:left="720"/>
        <w:contextualSpacing/>
      </w:pPr>
      <w:r w:rsidRPr="00736ED5">
        <w:t xml:space="preserve">that dominion which one man claims and exercises over the external things of the world, in exclusion of every other individual. In its larger and juster (sic) meaning, it embraces everything to which a man may attach a value and have a right; and </w:t>
      </w:r>
      <w:r w:rsidRPr="00736ED5">
        <w:rPr>
          <w:i/>
          <w:iCs/>
        </w:rPr>
        <w:t xml:space="preserve">which leaves to everyone else the like advantage. </w:t>
      </w:r>
      <w:r w:rsidRPr="00736ED5">
        <w:t xml:space="preserve">In the former sense, a man’s land, or </w:t>
      </w:r>
      <w:r w:rsidR="009874E4" w:rsidRPr="00736ED5">
        <w:t>merchandi</w:t>
      </w:r>
      <w:r w:rsidR="009874E4">
        <w:t>s</w:t>
      </w:r>
      <w:r w:rsidR="009874E4" w:rsidRPr="00736ED5">
        <w:t>e</w:t>
      </w:r>
      <w:r w:rsidRPr="00736ED5">
        <w:t>, or money is called his property. In the latter sense, a man has property in his opinions and the free communication of them. He has a property of peculiar value in his religious opinions, and in the profession and practice dictated by them. He has property very dear to him in the safety and liberty of his person. He has an equal property in the free use of his faculties and free choice of the objects on which to employ them. In a word, as a man is said to have a right to his property, he may be equally said to have a property in his rights (emphasis original).</w:t>
      </w:r>
      <w:r w:rsidRPr="00736ED5">
        <w:rPr>
          <w:vertAlign w:val="superscript"/>
        </w:rPr>
        <w:footnoteReference w:id="65"/>
      </w:r>
    </w:p>
    <w:p w:rsidR="009874E4" w:rsidRDefault="009874E4" w:rsidP="009874E4">
      <w:pPr>
        <w:tabs>
          <w:tab w:val="left" w:pos="720"/>
        </w:tabs>
        <w:spacing w:line="480" w:lineRule="auto"/>
        <w:contextualSpacing/>
      </w:pPr>
    </w:p>
    <w:p w:rsidR="006A5784" w:rsidRPr="006A5784" w:rsidRDefault="00736ED5" w:rsidP="009874E4">
      <w:pPr>
        <w:tabs>
          <w:tab w:val="left" w:pos="720"/>
        </w:tabs>
        <w:spacing w:line="480" w:lineRule="auto"/>
        <w:contextualSpacing/>
      </w:pPr>
      <w:r w:rsidRPr="00736ED5">
        <w:tab/>
        <w:t xml:space="preserve">Madison’s desire to see a republican form of government instituted in the United States grows directly </w:t>
      </w:r>
      <w:r w:rsidR="008944C5">
        <w:t>from</w:t>
      </w:r>
      <w:r w:rsidRPr="00736ED5">
        <w:t xml:space="preserve"> his desire to see liberty as a universally accessible commodity; liberty in what he owns, liberty in what he thinks, and liberty in what he believes. </w:t>
      </w:r>
      <w:r w:rsidR="006A5784">
        <w:t xml:space="preserve">In Madison’s mind, the </w:t>
      </w:r>
      <w:r w:rsidR="00130CF5">
        <w:t>r</w:t>
      </w:r>
      <w:r w:rsidR="006A5784">
        <w:t xml:space="preserve">epublican form of government was the best option for protecting the rights and liberties of citizens. </w:t>
      </w:r>
      <w:r w:rsidR="006A5784" w:rsidRPr="006A5784">
        <w:t xml:space="preserve">In </w:t>
      </w:r>
      <w:r w:rsidR="006A5784" w:rsidRPr="006A5784">
        <w:rPr>
          <w:i/>
        </w:rPr>
        <w:t>The Federalist Papers No. 39</w:t>
      </w:r>
      <w:r w:rsidR="006A5784" w:rsidRPr="006A5784">
        <w:t xml:space="preserve"> Madison describes a </w:t>
      </w:r>
      <w:r w:rsidR="00130CF5">
        <w:t>r</w:t>
      </w:r>
      <w:r w:rsidR="006A5784" w:rsidRPr="006A5784">
        <w:t>epublican government as, “a government which derives all its powers directly or indirectly from the great body of the people, and is administered by persons holding their offices during pleasure, for a limited period, or during good behavior.”</w:t>
      </w:r>
      <w:r w:rsidR="006A5784" w:rsidRPr="006A5784">
        <w:rPr>
          <w:vertAlign w:val="superscript"/>
        </w:rPr>
        <w:footnoteReference w:id="66"/>
      </w:r>
      <w:r w:rsidR="006A5784" w:rsidRPr="006A5784">
        <w:t xml:space="preserve"> If our form of government was strictly a </w:t>
      </w:r>
      <w:r w:rsidR="00130CF5">
        <w:t>d</w:t>
      </w:r>
      <w:r w:rsidR="006A5784" w:rsidRPr="006A5784">
        <w:t xml:space="preserve">emocracy, an “overbearing majority,” i.e. the stronger faction, would subsume the will and liberty of the weaker faction and force their own will on </w:t>
      </w:r>
      <w:r w:rsidR="006A5784" w:rsidRPr="006A5784">
        <w:lastRenderedPageBreak/>
        <w:t>society. The protection against this, as Madison note</w:t>
      </w:r>
      <w:r w:rsidR="00773C87">
        <w:t>d</w:t>
      </w:r>
      <w:r w:rsidR="006A5784" w:rsidRPr="006A5784">
        <w:t xml:space="preserve"> is “</w:t>
      </w:r>
      <w:r w:rsidR="00217FD4">
        <w:t>a</w:t>
      </w:r>
      <w:r w:rsidR="006A5784" w:rsidRPr="006A5784">
        <w:t xml:space="preserve"> republic, by which I mean a government in which the scheme of representation takes place, opens a different prospect, and promises the cure for which we are seeking.” </w:t>
      </w:r>
      <w:r w:rsidR="003A6472">
        <w:t xml:space="preserve">When </w:t>
      </w:r>
      <w:r w:rsidR="003A6472" w:rsidRPr="002E368C">
        <w:t>a</w:t>
      </w:r>
      <w:r w:rsidR="006A5784" w:rsidRPr="002E368C">
        <w:t xml:space="preserve"> faction </w:t>
      </w:r>
      <w:r w:rsidR="003A6472" w:rsidRPr="002E368C">
        <w:t>is</w:t>
      </w:r>
      <w:r w:rsidR="006A5784" w:rsidRPr="002E368C">
        <w:t xml:space="preserve"> less than </w:t>
      </w:r>
      <w:r w:rsidR="003A6472" w:rsidRPr="002E368C">
        <w:t>the</w:t>
      </w:r>
      <w:r w:rsidR="006A5784" w:rsidRPr="002E368C">
        <w:t xml:space="preserve"> majority, </w:t>
      </w:r>
      <w:r w:rsidR="003A6472" w:rsidRPr="002E368C">
        <w:t>the majority, under</w:t>
      </w:r>
      <w:r w:rsidR="006A5784" w:rsidRPr="002E368C">
        <w:t xml:space="preserve"> the republican principle, which enables the majority to</w:t>
      </w:r>
      <w:r w:rsidR="002E368C" w:rsidRPr="002E368C">
        <w:t xml:space="preserve"> simply outvote them by a </w:t>
      </w:r>
      <w:r w:rsidR="006A5784" w:rsidRPr="002E368C">
        <w:t xml:space="preserve">regular vote. When </w:t>
      </w:r>
      <w:r w:rsidR="002E368C" w:rsidRPr="002E368C">
        <w:t>the</w:t>
      </w:r>
      <w:r w:rsidR="006A5784" w:rsidRPr="002E368C">
        <w:t xml:space="preserve"> majority is </w:t>
      </w:r>
      <w:r w:rsidR="002E368C" w:rsidRPr="002E368C">
        <w:t>the</w:t>
      </w:r>
      <w:r w:rsidR="006A5784" w:rsidRPr="002E368C">
        <w:t xml:space="preserve"> faction, </w:t>
      </w:r>
      <w:r w:rsidR="002E368C" w:rsidRPr="002E368C">
        <w:t xml:space="preserve">or part of the faction, </w:t>
      </w:r>
      <w:r w:rsidR="006A5784" w:rsidRPr="002E368C">
        <w:t xml:space="preserve">the form of popular government enables it to </w:t>
      </w:r>
      <w:r w:rsidR="002E368C" w:rsidRPr="002E368C">
        <w:t>put aside its</w:t>
      </w:r>
      <w:r w:rsidR="006A5784" w:rsidRPr="002E368C">
        <w:t xml:space="preserve"> interest</w:t>
      </w:r>
      <w:r w:rsidR="002E368C" w:rsidRPr="002E368C">
        <w:t xml:space="preserve"> to</w:t>
      </w:r>
      <w:r w:rsidR="006A5784" w:rsidRPr="002E368C">
        <w:t xml:space="preserve"> both the public good and the rights of other citizens.”</w:t>
      </w:r>
      <w:r w:rsidR="006A5784" w:rsidRPr="002E368C">
        <w:rPr>
          <w:vertAlign w:val="superscript"/>
        </w:rPr>
        <w:footnoteReference w:id="67"/>
      </w:r>
      <w:r w:rsidR="006A5784" w:rsidRPr="002E368C">
        <w:t xml:space="preserve"> I</w:t>
      </w:r>
      <w:r w:rsidR="006A5784" w:rsidRPr="006A5784">
        <w:t xml:space="preserve">n Madison’s view, the </w:t>
      </w:r>
      <w:r w:rsidR="00130CF5">
        <w:t>r</w:t>
      </w:r>
      <w:r w:rsidR="006A5784" w:rsidRPr="006A5784">
        <w:t>epublican government, through representation, “a chosen body of citizens, whose wisdom may best discern the true interest of their country,” allowed the defeat of faction in either case.</w:t>
      </w:r>
      <w:r w:rsidR="006A5784" w:rsidRPr="006A5784">
        <w:rPr>
          <w:vertAlign w:val="superscript"/>
        </w:rPr>
        <w:footnoteReference w:id="68"/>
      </w:r>
    </w:p>
    <w:p w:rsidR="00736ED5" w:rsidRPr="00736ED5" w:rsidRDefault="006A5784" w:rsidP="00736ED5">
      <w:pPr>
        <w:tabs>
          <w:tab w:val="left" w:pos="720"/>
        </w:tabs>
        <w:spacing w:line="480" w:lineRule="auto"/>
        <w:contextualSpacing/>
      </w:pPr>
      <w:r>
        <w:tab/>
      </w:r>
      <w:r w:rsidR="00736ED5" w:rsidRPr="00736ED5">
        <w:t>Whether that desire was inspired by the examples of those whom Madison saw to be without liberty</w:t>
      </w:r>
      <w:r w:rsidR="00923EC3">
        <w:t>,</w:t>
      </w:r>
      <w:r w:rsidR="00736ED5" w:rsidRPr="00736ED5">
        <w:t xml:space="preserve"> slaves, those enduring religious persecution, or even normal citizens who lived under what they considered a tyrannical monarchy in King George III, or from the teachings of Witherspoon and others or a combination of all of those motivations, to James Madison, liberty was of primary importance. Looking past his motivations we find that Madison perceived that factions, or a factious spirit </w:t>
      </w:r>
      <w:r>
        <w:t>we</w:t>
      </w:r>
      <w:r w:rsidR="00736ED5" w:rsidRPr="00736ED5">
        <w:t xml:space="preserve">re adversarial to liberty. </w:t>
      </w:r>
    </w:p>
    <w:p w:rsidR="000E23A9" w:rsidRPr="00784432" w:rsidRDefault="000E23A9" w:rsidP="00FA564F">
      <w:pPr>
        <w:tabs>
          <w:tab w:val="left" w:pos="720"/>
        </w:tabs>
        <w:spacing w:line="480" w:lineRule="auto"/>
        <w:contextualSpacing/>
      </w:pPr>
    </w:p>
    <w:p w:rsidR="006A5784" w:rsidRDefault="006A5784" w:rsidP="00B40071">
      <w:pPr>
        <w:tabs>
          <w:tab w:val="left" w:pos="720"/>
        </w:tabs>
        <w:spacing w:line="480" w:lineRule="auto"/>
        <w:contextualSpacing/>
        <w:jc w:val="center"/>
        <w:rPr>
          <w:b/>
          <w:u w:val="single"/>
        </w:rPr>
      </w:pPr>
      <w:r>
        <w:rPr>
          <w:b/>
          <w:u w:val="single"/>
        </w:rPr>
        <w:t>Faction</w:t>
      </w:r>
    </w:p>
    <w:p w:rsidR="00366AB6" w:rsidRPr="0078060D" w:rsidRDefault="00366AB6" w:rsidP="006A5784">
      <w:pPr>
        <w:tabs>
          <w:tab w:val="left" w:pos="720"/>
        </w:tabs>
        <w:spacing w:line="480" w:lineRule="auto"/>
        <w:contextualSpacing/>
      </w:pPr>
    </w:p>
    <w:p w:rsidR="006A5784" w:rsidRDefault="006A5784" w:rsidP="006A5784">
      <w:pPr>
        <w:tabs>
          <w:tab w:val="left" w:pos="720"/>
        </w:tabs>
        <w:spacing w:line="480" w:lineRule="auto"/>
        <w:contextualSpacing/>
      </w:pPr>
      <w:r>
        <w:tab/>
        <w:t xml:space="preserve">In the </w:t>
      </w:r>
      <w:r w:rsidRPr="005E4677">
        <w:rPr>
          <w:i/>
        </w:rPr>
        <w:t xml:space="preserve">Federalist Papers </w:t>
      </w:r>
      <w:r w:rsidR="002D34F0" w:rsidRPr="002D34F0">
        <w:rPr>
          <w:i/>
        </w:rPr>
        <w:t>No.</w:t>
      </w:r>
      <w:r w:rsidRPr="002D34F0">
        <w:rPr>
          <w:i/>
        </w:rPr>
        <w:t>10</w:t>
      </w:r>
      <w:r>
        <w:t xml:space="preserve"> Madison defines </w:t>
      </w:r>
      <w:bookmarkStart w:id="19" w:name="_Hlk522966903"/>
      <w:r>
        <w:t xml:space="preserve">faction as “a number of citizens, whether amounting to a majority or a minority of the whole, who are united and actuated by some common impulse of passion, or of interest, adversed (sic) to the rights of other </w:t>
      </w:r>
      <w:r>
        <w:lastRenderedPageBreak/>
        <w:t>citizens, or to the permanent and aggregate interests of the community.”</w:t>
      </w:r>
      <w:r>
        <w:rPr>
          <w:rStyle w:val="FootnoteReference"/>
        </w:rPr>
        <w:footnoteReference w:id="69"/>
      </w:r>
      <w:r>
        <w:t xml:space="preserve"> </w:t>
      </w:r>
      <w:bookmarkEnd w:id="19"/>
      <w:r>
        <w:t>He found, according to Marc M. Arkin, the basis for his discussion on faction and its causes in the works of the early eighteenth century Scottish philosopher, David Hume.</w:t>
      </w:r>
      <w:r>
        <w:rPr>
          <w:rStyle w:val="FootnoteReference"/>
        </w:rPr>
        <w:footnoteReference w:id="70"/>
      </w:r>
      <w:r>
        <w:t xml:space="preserve"> Madison saw faction as a “dangerous vice” which introduced “instability, injustice, and confusion” into the public sphere, and noted that it is a “mortal disease under which popular governments everywhere have perished.”</w:t>
      </w:r>
      <w:r>
        <w:rPr>
          <w:rStyle w:val="FootnoteReference"/>
        </w:rPr>
        <w:footnoteReference w:id="71"/>
      </w:r>
      <w:r>
        <w:t xml:space="preserve"> Arkin suggests that Madison agreed with Hume on the causes of faction, that the causes of faction are “sown in the nature on men,” and stem from diversities of opinions concerning principally the “various and unequal distribution of property,” but also from different opinions about religion, government, and “attachment to different leaders.”</w:t>
      </w:r>
      <w:r>
        <w:rPr>
          <w:rStyle w:val="FootnoteReference"/>
        </w:rPr>
        <w:footnoteReference w:id="72"/>
      </w:r>
      <w:r>
        <w:t xml:space="preserve"> However, Arkin argues, Madison, unlike Hume, did not believe </w:t>
      </w:r>
      <w:r w:rsidRPr="002D4C37">
        <w:t>that prevent</w:t>
      </w:r>
      <w:r w:rsidR="0025331F">
        <w:t>ing</w:t>
      </w:r>
      <w:r w:rsidRPr="002D4C37">
        <w:t xml:space="preserve"> </w:t>
      </w:r>
      <w:r>
        <w:t>factions</w:t>
      </w:r>
      <w:r w:rsidRPr="002D4C37">
        <w:t xml:space="preserve"> from </w:t>
      </w:r>
      <w:r w:rsidR="0025331F">
        <w:t>forming was the answer.</w:t>
      </w:r>
      <w:r>
        <w:t>”</w:t>
      </w:r>
      <w:r>
        <w:rPr>
          <w:rStyle w:val="FootnoteReference"/>
        </w:rPr>
        <w:footnoteReference w:id="73"/>
      </w:r>
      <w:r>
        <w:t xml:space="preserve"> </w:t>
      </w:r>
      <w:r w:rsidR="0025331F">
        <w:t>T</w:t>
      </w:r>
      <w:r>
        <w:t>hat would have necessitated removing liberty</w:t>
      </w:r>
      <w:r w:rsidR="0025331F">
        <w:t xml:space="preserve"> completely</w:t>
      </w:r>
      <w:r>
        <w:t xml:space="preserve"> </w:t>
      </w:r>
      <w:r w:rsidR="0025331F">
        <w:t>because</w:t>
      </w:r>
      <w:r>
        <w:t xml:space="preserve"> faction cannot exist </w:t>
      </w:r>
      <w:r w:rsidR="0025331F">
        <w:t xml:space="preserve">without it, </w:t>
      </w:r>
      <w:r>
        <w:t>and liberty was the whole point.</w:t>
      </w:r>
      <w:r>
        <w:rPr>
          <w:rStyle w:val="FootnoteReference"/>
        </w:rPr>
        <w:footnoteReference w:id="74"/>
      </w:r>
      <w:r>
        <w:t xml:space="preserve"> Instead, as Arkin points out, Madison applied Hume’s reasoning to the American situation and developed the concept that rather than trying to extinguish faction, give freedom for many factions to exist and none can gain the upper hand and “undermine the government.”</w:t>
      </w:r>
      <w:r>
        <w:rPr>
          <w:rStyle w:val="FootnoteReference"/>
        </w:rPr>
        <w:footnoteReference w:id="75"/>
      </w:r>
      <w:r>
        <w:t xml:space="preserve"> </w:t>
      </w:r>
      <w:r w:rsidRPr="007419D6">
        <w:t xml:space="preserve">This Madison expressly points out in relation to </w:t>
      </w:r>
      <w:r w:rsidRPr="007419D6">
        <w:lastRenderedPageBreak/>
        <w:t xml:space="preserve">religion in the </w:t>
      </w:r>
      <w:r w:rsidRPr="007419D6">
        <w:rPr>
          <w:i/>
        </w:rPr>
        <w:t xml:space="preserve">Federalist Papers </w:t>
      </w:r>
      <w:r w:rsidR="002D34F0">
        <w:rPr>
          <w:i/>
        </w:rPr>
        <w:t>No.</w:t>
      </w:r>
      <w:r w:rsidRPr="006A5F76">
        <w:t>10</w:t>
      </w:r>
      <w:r w:rsidRPr="007419D6">
        <w:rPr>
          <w:i/>
        </w:rPr>
        <w:t xml:space="preserve"> </w:t>
      </w:r>
      <w:r w:rsidR="006A5F76">
        <w:t xml:space="preserve">is </w:t>
      </w:r>
      <w:r w:rsidRPr="007419D6">
        <w:t>“the greater security afforded by a greater variety of parties, against the event of any one party being able to outnumber and oppress the rest</w:t>
      </w:r>
      <w:r w:rsidRPr="007419D6">
        <w:rPr>
          <w:i/>
        </w:rPr>
        <w:t>.</w:t>
      </w:r>
      <w:r w:rsidRPr="007419D6">
        <w:t>”</w:t>
      </w:r>
      <w:r>
        <w:rPr>
          <w:rStyle w:val="FootnoteReference"/>
        </w:rPr>
        <w:footnoteReference w:id="76"/>
      </w:r>
    </w:p>
    <w:p w:rsidR="00840416" w:rsidRDefault="00840416" w:rsidP="006A5784">
      <w:pPr>
        <w:tabs>
          <w:tab w:val="left" w:pos="720"/>
        </w:tabs>
        <w:spacing w:line="480" w:lineRule="auto"/>
        <w:contextualSpacing/>
      </w:pPr>
    </w:p>
    <w:p w:rsidR="00840416" w:rsidRDefault="00840416" w:rsidP="00B40071">
      <w:pPr>
        <w:tabs>
          <w:tab w:val="left" w:pos="720"/>
        </w:tabs>
        <w:spacing w:line="480" w:lineRule="auto"/>
        <w:contextualSpacing/>
        <w:jc w:val="center"/>
      </w:pPr>
      <w:r>
        <w:rPr>
          <w:b/>
          <w:u w:val="single"/>
        </w:rPr>
        <w:t>Religious Factionalism</w:t>
      </w:r>
    </w:p>
    <w:p w:rsidR="00840416" w:rsidRDefault="00840416" w:rsidP="006A5784">
      <w:pPr>
        <w:tabs>
          <w:tab w:val="left" w:pos="720"/>
        </w:tabs>
        <w:spacing w:line="480" w:lineRule="auto"/>
        <w:contextualSpacing/>
      </w:pPr>
    </w:p>
    <w:p w:rsidR="00DE1667" w:rsidRDefault="00840416" w:rsidP="00BF5354">
      <w:pPr>
        <w:tabs>
          <w:tab w:val="left" w:pos="720"/>
        </w:tabs>
        <w:spacing w:line="480" w:lineRule="auto"/>
        <w:contextualSpacing/>
      </w:pPr>
      <w:r>
        <w:tab/>
        <w:t>Factionalism wore many different faces</w:t>
      </w:r>
      <w:r w:rsidR="00BF5354">
        <w:t xml:space="preserve">, among them that of religious factionalism. </w:t>
      </w:r>
      <w:r w:rsidR="00BF5354" w:rsidRPr="00BF5354">
        <w:t xml:space="preserve">Hume, as Arkin points out, used religion as his paradigm for his discourses on faction and this is a paradigm that Madison </w:t>
      </w:r>
      <w:r w:rsidR="0025331F">
        <w:t xml:space="preserve">not only </w:t>
      </w:r>
      <w:r w:rsidR="00BF5354" w:rsidRPr="00BF5354">
        <w:t>knew very well</w:t>
      </w:r>
      <w:r w:rsidR="006A5F76">
        <w:t xml:space="preserve"> </w:t>
      </w:r>
      <w:r w:rsidR="0025331F">
        <w:t>but</w:t>
      </w:r>
      <w:r w:rsidR="00BF5354" w:rsidRPr="00BF5354">
        <w:t xml:space="preserve"> was close to </w:t>
      </w:r>
      <w:r w:rsidR="006A5F76">
        <w:t>hi</w:t>
      </w:r>
      <w:r w:rsidR="00BF5354" w:rsidRPr="00BF5354">
        <w:t xml:space="preserve">s heart. </w:t>
      </w:r>
      <w:r w:rsidR="00DE1667">
        <w:t xml:space="preserve">As a young man, Madison witnessed a situation which marked him. </w:t>
      </w:r>
      <w:r w:rsidR="00BF5354" w:rsidRPr="00BF5354">
        <w:t xml:space="preserve">A number of Baptists were arrested for proselytizing </w:t>
      </w:r>
      <w:r w:rsidR="00276227">
        <w:t xml:space="preserve">in a manner not acceptable to the established Episcopal </w:t>
      </w:r>
      <w:r w:rsidR="003242B8">
        <w:t>Church</w:t>
      </w:r>
      <w:r w:rsidR="00276227">
        <w:t xml:space="preserve"> </w:t>
      </w:r>
      <w:r w:rsidR="00BF5354" w:rsidRPr="00BF5354">
        <w:t>and thrown into jail to dissuade them from repeating the error of their ways. Madison was standing outside a jail cell and heard the Baptists preach from within the cell through the bars on the windows.</w:t>
      </w:r>
      <w:r w:rsidR="00BF5354" w:rsidRPr="00BF5354">
        <w:rPr>
          <w:vertAlign w:val="superscript"/>
        </w:rPr>
        <w:footnoteReference w:id="77"/>
      </w:r>
      <w:r w:rsidR="00BF5354" w:rsidRPr="00BF5354">
        <w:t xml:space="preserve"> </w:t>
      </w:r>
    </w:p>
    <w:p w:rsidR="00DE1667" w:rsidRDefault="00DE1667" w:rsidP="00BF5354">
      <w:pPr>
        <w:tabs>
          <w:tab w:val="left" w:pos="720"/>
        </w:tabs>
        <w:spacing w:line="480" w:lineRule="auto"/>
        <w:contextualSpacing/>
      </w:pPr>
      <w:r>
        <w:tab/>
      </w:r>
      <w:r w:rsidR="00BF5354" w:rsidRPr="00BF5354">
        <w:t xml:space="preserve">Lewis Peyton Little suggests </w:t>
      </w:r>
      <w:r w:rsidR="006A5F76">
        <w:t>several possible</w:t>
      </w:r>
      <w:r w:rsidR="00BF5354" w:rsidRPr="00BF5354">
        <w:t xml:space="preserve"> events that may have been Madison’s introduction to religious persecution. </w:t>
      </w:r>
      <w:r w:rsidR="006A5F76">
        <w:t>For example</w:t>
      </w:r>
      <w:r w:rsidR="00BF5354" w:rsidRPr="00BF5354">
        <w:t>, in Fauquier County which is adjacent to Orange County</w:t>
      </w:r>
      <w:r w:rsidR="0025331F">
        <w:t>,</w:t>
      </w:r>
      <w:r w:rsidR="00BF5354" w:rsidRPr="00BF5354">
        <w:t xml:space="preserve"> where a then seventeen-year-old Madison lived, Elder John Picket, the pastor of Carter's Run </w:t>
      </w:r>
      <w:r w:rsidR="003242B8">
        <w:t>Church</w:t>
      </w:r>
      <w:r w:rsidR="006A5F76">
        <w:t xml:space="preserve"> was</w:t>
      </w:r>
      <w:r w:rsidR="00BF5354" w:rsidRPr="00BF5354">
        <w:t xml:space="preserve"> in jail for proselytizing</w:t>
      </w:r>
      <w:r w:rsidR="006A5F76">
        <w:t>.</w:t>
      </w:r>
      <w:r w:rsidR="00BF5354" w:rsidRPr="00BF5354">
        <w:rPr>
          <w:vertAlign w:val="superscript"/>
        </w:rPr>
        <w:t xml:space="preserve"> </w:t>
      </w:r>
      <w:r w:rsidR="00BF5354" w:rsidRPr="00BF5354">
        <w:rPr>
          <w:vertAlign w:val="superscript"/>
        </w:rPr>
        <w:footnoteReference w:id="78"/>
      </w:r>
      <w:r w:rsidR="00BF5354" w:rsidRPr="00BF5354">
        <w:t xml:space="preserve"> </w:t>
      </w:r>
      <w:r w:rsidR="006A5F76">
        <w:t>I</w:t>
      </w:r>
      <w:r w:rsidR="00BF5354" w:rsidRPr="00BF5354">
        <w:t xml:space="preserve">n another incident, a year later, three Baptists were imprisoned in Fredericksburg because they </w:t>
      </w:r>
      <w:r w:rsidR="00BF5354" w:rsidRPr="00BF5354">
        <w:lastRenderedPageBreak/>
        <w:t>refused to stop preaching.</w:t>
      </w:r>
      <w:r w:rsidR="00BF5354" w:rsidRPr="00BF5354">
        <w:rPr>
          <w:vertAlign w:val="superscript"/>
        </w:rPr>
        <w:footnoteReference w:id="79"/>
      </w:r>
      <w:r w:rsidR="00BF5354" w:rsidRPr="00BF5354">
        <w:t xml:space="preserve"> In both cases the Baptists were noted to preach through the windows of their prison cells.  Madison later revealed his distress over the situation to his college friend, William Bradford stating that “there are at this time in the adjacent country not less than five or six well-meaning men in close jail for publishing their religious sentiments.” And that the “diabolical, hell-conceived principle of persecution rages among some; and to their eternal infamy, the clergy can furnish their quota of imps for such business.”</w:t>
      </w:r>
      <w:r w:rsidR="00BF5354" w:rsidRPr="00BF5354">
        <w:rPr>
          <w:vertAlign w:val="superscript"/>
        </w:rPr>
        <w:footnoteReference w:id="80"/>
      </w:r>
    </w:p>
    <w:p w:rsidR="00DE1667" w:rsidRPr="00D615B4" w:rsidRDefault="00DE1667" w:rsidP="00DE1667">
      <w:pPr>
        <w:tabs>
          <w:tab w:val="left" w:pos="720"/>
        </w:tabs>
        <w:spacing w:line="480" w:lineRule="auto"/>
        <w:contextualSpacing/>
      </w:pPr>
      <w:r>
        <w:tab/>
      </w:r>
      <w:r w:rsidRPr="00DE1667">
        <w:t>In his letters to William Bradford, Madison says he wants “again to breathe your free air.”</w:t>
      </w:r>
      <w:r w:rsidRPr="00DE1667">
        <w:rPr>
          <w:vertAlign w:val="superscript"/>
        </w:rPr>
        <w:footnoteReference w:id="81"/>
      </w:r>
      <w:r w:rsidRPr="00DE1667">
        <w:t xml:space="preserve"> Though it was possible that he was referring to Pennsylvania’s climate in the aforementioned quote, it is more likely he was using this as a metaphor for the religious climate as this was the statement that he ma</w:t>
      </w:r>
      <w:r w:rsidR="005E5356">
        <w:t>de</w:t>
      </w:r>
      <w:r w:rsidRPr="00DE1667">
        <w:t xml:space="preserve"> just prior to discussing the state of religious persecution in Virginia.</w:t>
      </w:r>
      <w:r>
        <w:t xml:space="preserve"> </w:t>
      </w:r>
      <w:r w:rsidRPr="00DE1667">
        <w:t>J. William Frost explains that there was freedom of religion within Pennsylvania from the late seventeenth century on. William Penn, himself a Quaker, and as such a member of a persecuted sect, wanted the colony to allow freedom of conscience. There was “no established church, no tax-supported clergy, no tithe, no church courts.”</w:t>
      </w:r>
      <w:r w:rsidRPr="00DE1667">
        <w:rPr>
          <w:vertAlign w:val="superscript"/>
        </w:rPr>
        <w:footnoteReference w:id="82"/>
      </w:r>
      <w:r w:rsidRPr="00DE1667">
        <w:t xml:space="preserve"> </w:t>
      </w:r>
      <w:r w:rsidRPr="00D615B4">
        <w:t xml:space="preserve">Penn </w:t>
      </w:r>
      <w:r w:rsidR="00D615B4" w:rsidRPr="00D615B4">
        <w:t>wanted a colony where people of all faiths felt comfortable in the practice of their religion. By granting freedom of religion</w:t>
      </w:r>
      <w:r w:rsidR="00130CF5">
        <w:t>,</w:t>
      </w:r>
      <w:r w:rsidR="00D615B4" w:rsidRPr="00D615B4">
        <w:t xml:space="preserve"> Pennsylvania was able to attract a diverse array of religions including the Baptists, Mennonites, and Amish. Despite attempts by the Anglicans to press for an established church</w:t>
      </w:r>
      <w:r w:rsidR="00130CF5">
        <w:t>,</w:t>
      </w:r>
      <w:r w:rsidR="00D615B4" w:rsidRPr="00D615B4">
        <w:t xml:space="preserve"> the general consensus from the other religions was that they </w:t>
      </w:r>
      <w:r w:rsidRPr="00D615B4">
        <w:t xml:space="preserve">preferred “Quaker liberty to Anglican </w:t>
      </w:r>
      <w:r w:rsidRPr="00D615B4">
        <w:lastRenderedPageBreak/>
        <w:t>toleration,” and the attempts were unsuccessful.  Therefore, freedom of conscience was the official stance in Pennsylvania and there was no persecution of those labeled dissenters. Pennsylvania remained free</w:t>
      </w:r>
      <w:r w:rsidR="00D615B4" w:rsidRPr="00D615B4">
        <w:t xml:space="preserve"> mostly </w:t>
      </w:r>
      <w:r w:rsidRPr="00D615B4">
        <w:t>because the settlers supported religious liberty.</w:t>
      </w:r>
      <w:r w:rsidRPr="00D615B4">
        <w:rPr>
          <w:vertAlign w:val="superscript"/>
        </w:rPr>
        <w:footnoteReference w:id="83"/>
      </w:r>
    </w:p>
    <w:p w:rsidR="00DE1667" w:rsidRPr="00DE1667" w:rsidRDefault="00DE1667" w:rsidP="00DE1667">
      <w:pPr>
        <w:tabs>
          <w:tab w:val="left" w:pos="720"/>
        </w:tabs>
        <w:spacing w:line="480" w:lineRule="auto"/>
        <w:contextualSpacing/>
      </w:pPr>
      <w:r w:rsidRPr="00DE1667">
        <w:tab/>
        <w:t>William C. Rives, a contemporary of Madison, considers the situations on which Madison makes his arguments to Bradford. He writes that the case made by Madison may, because of Madison’s passion on the subject, have been exaggerated somewhat. Rives maintains that the persecution was not wide spread, that, for example, Baptist dissenters were not “exposed in every part of the state, to the same persecutions.”</w:t>
      </w:r>
      <w:r w:rsidRPr="00DE1667">
        <w:rPr>
          <w:vertAlign w:val="superscript"/>
        </w:rPr>
        <w:footnoteReference w:id="84"/>
      </w:r>
      <w:r w:rsidRPr="00DE1667">
        <w:t xml:space="preserve"> Bernard Bailyn finds much the same conclusion, noting that, especially in the western part of the state where non-conformists were encouraged to settle, requirements to adhere to the established church were often ignored.</w:t>
      </w:r>
      <w:r w:rsidRPr="00DE1667">
        <w:rPr>
          <w:vertAlign w:val="superscript"/>
        </w:rPr>
        <w:footnoteReference w:id="85"/>
      </w:r>
      <w:r w:rsidRPr="00DE1667">
        <w:t xml:space="preserve"> Rives notes, however, that there was evidence of persecution in the county where Madison resided, stating that the “focus in which the scorching rays of persecution were converged, and directed, with their intensest (sic) heat, against this devoted [Baptist] sect” was in the “country in which Mr. Madison resided.”</w:t>
      </w:r>
      <w:r w:rsidRPr="00DE1667">
        <w:rPr>
          <w:vertAlign w:val="superscript"/>
        </w:rPr>
        <w:footnoteReference w:id="86"/>
      </w:r>
      <w:r w:rsidRPr="00DE1667">
        <w:t xml:space="preserve"> Rives finds little evidence that the established church was responsible for cases of persecution towards the Baptists and other sects. However, he also says that it is “no wonder, then, that [Madison] should have been deeply outraged by such a spectacle” and that in comparison to Pennsylvania where Bradford lived, where </w:t>
      </w:r>
      <w:r w:rsidRPr="00DE1667">
        <w:lastRenderedPageBreak/>
        <w:t>there was religious freedom and where there was peace on that front, that it was natural for Madison to take a “gloomy and desponding” view of his home state.</w:t>
      </w:r>
      <w:r w:rsidRPr="00DE1667">
        <w:rPr>
          <w:vertAlign w:val="superscript"/>
        </w:rPr>
        <w:footnoteReference w:id="87"/>
      </w:r>
      <w:r w:rsidRPr="00DE1667">
        <w:t xml:space="preserve"> While Rives expresses doubt as to the nature and extent of religious persecution within the State of Virginia, still he recognizes that the persecution which Madison observed had a profound effect on him. Additionally, Bailyn says that Pennsylvania, where Bradford lived, was the only state that had a “systematic, principled opposition to establishments.”</w:t>
      </w:r>
      <w:r w:rsidRPr="00DE1667">
        <w:rPr>
          <w:vertAlign w:val="superscript"/>
        </w:rPr>
        <w:footnoteReference w:id="88"/>
      </w:r>
      <w:r w:rsidRPr="00DE1667">
        <w:t xml:space="preserve"> It is then, fair to say that religious persecution in Virginia and the opposing freedom seen in Pennsylvania were part of the culture that shaped Madison’s conception of what was proper in the church </w:t>
      </w:r>
      <w:r w:rsidR="003242B8">
        <w:t>and</w:t>
      </w:r>
      <w:r w:rsidRPr="00DE1667">
        <w:t xml:space="preserve"> state relationship.</w:t>
      </w:r>
      <w:r w:rsidR="00702F63">
        <w:t xml:space="preserve"> </w:t>
      </w:r>
    </w:p>
    <w:p w:rsidR="003D1488" w:rsidRDefault="003D1488" w:rsidP="00702F63">
      <w:pPr>
        <w:tabs>
          <w:tab w:val="left" w:pos="720"/>
        </w:tabs>
        <w:spacing w:line="480" w:lineRule="auto"/>
        <w:contextualSpacing/>
        <w:rPr>
          <w:b/>
          <w:u w:val="single"/>
        </w:rPr>
      </w:pPr>
    </w:p>
    <w:p w:rsidR="00702F63" w:rsidRDefault="00702F63" w:rsidP="00B40071">
      <w:pPr>
        <w:tabs>
          <w:tab w:val="left" w:pos="720"/>
        </w:tabs>
        <w:spacing w:line="480" w:lineRule="auto"/>
        <w:contextualSpacing/>
        <w:jc w:val="center"/>
        <w:rPr>
          <w:b/>
          <w:u w:val="single"/>
        </w:rPr>
      </w:pPr>
      <w:r w:rsidRPr="00702F63">
        <w:rPr>
          <w:b/>
          <w:u w:val="single"/>
        </w:rPr>
        <w:t>Enlightenment</w:t>
      </w:r>
    </w:p>
    <w:p w:rsidR="003D1488" w:rsidRPr="00702F63" w:rsidRDefault="003D1488" w:rsidP="00702F63">
      <w:pPr>
        <w:tabs>
          <w:tab w:val="left" w:pos="720"/>
        </w:tabs>
        <w:spacing w:line="480" w:lineRule="auto"/>
        <w:contextualSpacing/>
        <w:rPr>
          <w:b/>
          <w:u w:val="single"/>
        </w:rPr>
      </w:pPr>
    </w:p>
    <w:p w:rsidR="003F3B17" w:rsidRDefault="00702F63" w:rsidP="00702F63">
      <w:pPr>
        <w:tabs>
          <w:tab w:val="left" w:pos="720"/>
        </w:tabs>
        <w:spacing w:line="480" w:lineRule="auto"/>
        <w:contextualSpacing/>
      </w:pPr>
      <w:r w:rsidRPr="00702F63">
        <w:tab/>
      </w:r>
      <w:r w:rsidR="00F4184E" w:rsidRPr="00F4184E">
        <w:t>Another source of development on Madison’s thought in regards to religion are the authors of the Enlightenment.</w:t>
      </w:r>
      <w:r w:rsidR="00F4184E">
        <w:t xml:space="preserve"> </w:t>
      </w:r>
      <w:r w:rsidR="00F4184E" w:rsidRPr="00702F63">
        <w:t>Carolin</w:t>
      </w:r>
      <w:r w:rsidRPr="00702F63">
        <w:t>e Winterer states that religious toleration began to appear during the sixteenth century in Europe. “So devastating were the wars of religion that states concluded that the business of governing and wealth creation could best be achieved by allowing some freedom of conscience.”</w:t>
      </w:r>
      <w:r w:rsidRPr="00702F63">
        <w:rPr>
          <w:vertAlign w:val="superscript"/>
        </w:rPr>
        <w:footnoteReference w:id="89"/>
      </w:r>
      <w:r w:rsidRPr="00702F63">
        <w:t xml:space="preserve"> It is from this matrix that </w:t>
      </w:r>
      <w:r w:rsidR="003D1488">
        <w:t xml:space="preserve">authors like </w:t>
      </w:r>
      <w:r w:rsidRPr="00702F63">
        <w:t>Locke</w:t>
      </w:r>
      <w:r w:rsidR="003D1488">
        <w:t>, Hume, and Voltaire emerged</w:t>
      </w:r>
      <w:r w:rsidRPr="00702F63">
        <w:t xml:space="preserve"> arguing for natural rights and religious toleration.</w:t>
      </w:r>
      <w:r w:rsidR="003D1488">
        <w:t xml:space="preserve"> Voltaire, as previously quoted, believed that the best response to religious factionalism, especially in relation to government was to promote many such factions</w:t>
      </w:r>
      <w:r w:rsidR="004520B1">
        <w:t>:</w:t>
      </w:r>
      <w:r w:rsidR="003D1488">
        <w:t xml:space="preserve"> </w:t>
      </w:r>
      <w:r w:rsidR="003D1488" w:rsidRPr="003D1488">
        <w:t xml:space="preserve">“If </w:t>
      </w:r>
      <w:r w:rsidR="003D1488" w:rsidRPr="003D1488">
        <w:lastRenderedPageBreak/>
        <w:t>one religion only were allowed in England, the government would possibly become arbitrary; if there were but two, the people would cut each other’s throats; but as there are such a multitude, they all live happy and in peace.”</w:t>
      </w:r>
      <w:r w:rsidR="003D1488" w:rsidRPr="003D1488">
        <w:rPr>
          <w:vertAlign w:val="superscript"/>
        </w:rPr>
        <w:footnoteReference w:id="90"/>
      </w:r>
      <w:r w:rsidR="004520B1">
        <w:t xml:space="preserve"> Madison, as Gaillard Hunt noted</w:t>
      </w:r>
      <w:r w:rsidR="00C33826">
        <w:t>,</w:t>
      </w:r>
      <w:r w:rsidR="004520B1">
        <w:t xml:space="preserve"> was wont to quote Voltaire on this point. Hume, another influence on Madison</w:t>
      </w:r>
      <w:r w:rsidR="00593763">
        <w:t>,</w:t>
      </w:r>
      <w:r w:rsidR="004520B1">
        <w:t xml:space="preserve"> frames his argument on faction around religion</w:t>
      </w:r>
      <w:r w:rsidR="00630FDF">
        <w:t xml:space="preserve">. His fourth volume of </w:t>
      </w:r>
      <w:r w:rsidR="00630FDF">
        <w:rPr>
          <w:i/>
        </w:rPr>
        <w:t>T</w:t>
      </w:r>
      <w:r w:rsidR="00630FDF" w:rsidRPr="00630FDF">
        <w:rPr>
          <w:i/>
        </w:rPr>
        <w:t>he</w:t>
      </w:r>
      <w:r w:rsidR="00630FDF">
        <w:rPr>
          <w:i/>
        </w:rPr>
        <w:t xml:space="preserve"> History of England</w:t>
      </w:r>
      <w:r w:rsidR="00630FDF">
        <w:t xml:space="preserve"> centers on the religious factions that swirled around the thrones of not only England, but France and Spain as well. He spoke at length on the issues caused, the atrocities committed and the cost to those monarchs that became embroiled in religious faction. He talks at one point about the “</w:t>
      </w:r>
      <w:r w:rsidR="00630FDF" w:rsidRPr="00630FDF">
        <w:t xml:space="preserve">the never failing pretence </w:t>
      </w:r>
      <w:r w:rsidR="00630FDF">
        <w:t xml:space="preserve">(sic) </w:t>
      </w:r>
      <w:r w:rsidR="00630FDF" w:rsidRPr="00630FDF">
        <w:t>of religion, joined to the influence of money</w:t>
      </w:r>
      <w:r w:rsidR="00630FDF">
        <w:t>.”</w:t>
      </w:r>
      <w:r w:rsidR="00630FDF">
        <w:rPr>
          <w:rStyle w:val="FootnoteReference"/>
        </w:rPr>
        <w:footnoteReference w:id="91"/>
      </w:r>
      <w:r w:rsidR="00B93558">
        <w:t xml:space="preserve"> </w:t>
      </w:r>
      <w:r w:rsidR="00593763">
        <w:t xml:space="preserve">Hume covers at some length the reign of Henry IV of France, King of Navarre who was forced to convert from Protestant to Catholic and was able, through toleration, to bring to an end the French Wars of Religion. </w:t>
      </w:r>
      <w:r w:rsidR="00C24059">
        <w:t xml:space="preserve">However, </w:t>
      </w:r>
      <w:r w:rsidR="000B4C24">
        <w:t>m</w:t>
      </w:r>
      <w:r w:rsidRPr="00702F63">
        <w:t xml:space="preserve">any of Madison’s ideas on religious rights closely mirror those of Locke in his work, </w:t>
      </w:r>
      <w:r w:rsidRPr="00702F63">
        <w:rPr>
          <w:i/>
        </w:rPr>
        <w:t>A Letter Concerning Toleration</w:t>
      </w:r>
      <w:r w:rsidRPr="00702F63">
        <w:t>.</w:t>
      </w:r>
      <w:r w:rsidR="00C95233">
        <w:t xml:space="preserve"> Mark Goldie, in his introduction to Locke’s letter indicates the situation as Locke understood it</w:t>
      </w:r>
      <w:r w:rsidR="003F3B17">
        <w:t>:</w:t>
      </w:r>
    </w:p>
    <w:p w:rsidR="00B40071" w:rsidRDefault="00B40071" w:rsidP="00702F63">
      <w:pPr>
        <w:tabs>
          <w:tab w:val="left" w:pos="720"/>
        </w:tabs>
        <w:spacing w:line="480" w:lineRule="auto"/>
        <w:contextualSpacing/>
      </w:pPr>
    </w:p>
    <w:p w:rsidR="003F3B17" w:rsidRDefault="003F3B17" w:rsidP="003F3B17">
      <w:pPr>
        <w:tabs>
          <w:tab w:val="left" w:pos="720"/>
        </w:tabs>
        <w:spacing w:line="240" w:lineRule="auto"/>
        <w:ind w:left="720"/>
        <w:contextualSpacing/>
      </w:pPr>
      <w:r w:rsidRPr="003F3B17">
        <w:t>Luther was ferocious against the Anabaptists, calling down the wrath of the German princes upon them. At Geneva, Calvin burned Servetus for heresy. In England, the regime of Elizabeth and the early Stuarts drove religious nonconformists to flee to the Netherlands and America; in the Netherlands, Calvinists harassed those who deviated into Arminianism; and in Massachusetts, separatists were punished</w:t>
      </w:r>
      <w:r w:rsidR="00C95233">
        <w:t xml:space="preserve"> . . . </w:t>
      </w:r>
      <w:r w:rsidRPr="003F3B17">
        <w:t xml:space="preserve">The Reformation and Counter-Reformation </w:t>
      </w:r>
      <w:r w:rsidRPr="003F3B17">
        <w:lastRenderedPageBreak/>
        <w:t>witnessed extraordinary savagery in the name of religious orthodoxy, in events such as the St. Bartholomew’s Day Massacre in France and the Cromwellian annihilation of Irish “papists.”</w:t>
      </w:r>
      <w:r>
        <w:rPr>
          <w:rStyle w:val="FootnoteReference"/>
        </w:rPr>
        <w:footnoteReference w:id="92"/>
      </w:r>
    </w:p>
    <w:p w:rsidR="003F3B17" w:rsidRDefault="003F3B17" w:rsidP="00702F63">
      <w:pPr>
        <w:tabs>
          <w:tab w:val="left" w:pos="720"/>
        </w:tabs>
        <w:spacing w:line="480" w:lineRule="auto"/>
        <w:contextualSpacing/>
      </w:pPr>
    </w:p>
    <w:p w:rsidR="00593763" w:rsidRDefault="00C83D2D" w:rsidP="00702F63">
      <w:pPr>
        <w:tabs>
          <w:tab w:val="left" w:pos="720"/>
        </w:tabs>
        <w:spacing w:line="480" w:lineRule="auto"/>
        <w:contextualSpacing/>
      </w:pPr>
      <w:r>
        <w:tab/>
      </w:r>
      <w:r w:rsidR="00EE226A">
        <w:t>Locke’s letter makes a strong case against religious faction and its relationship to government.</w:t>
      </w:r>
      <w:r>
        <w:t xml:space="preserve"> </w:t>
      </w:r>
      <w:r w:rsidR="002F77DB">
        <w:t>“T</w:t>
      </w:r>
      <w:r w:rsidR="002F77DB" w:rsidRPr="002F77DB">
        <w:t>he Care of Souls is not committed to the Civil Magistrate any more than to other Men. It is not committed unto him, I say, by God; because it appears not that God has ever given any such Authority to one Man over another, as to compel anyone to his Religion</w:t>
      </w:r>
      <w:r w:rsidR="002F77DB">
        <w:t>.”</w:t>
      </w:r>
      <w:r w:rsidR="002F77DB">
        <w:rPr>
          <w:rStyle w:val="FootnoteReference"/>
        </w:rPr>
        <w:footnoteReference w:id="93"/>
      </w:r>
      <w:r w:rsidR="002F77DB">
        <w:t xml:space="preserve"> </w:t>
      </w:r>
      <w:r w:rsidR="00702F63" w:rsidRPr="00702F63">
        <w:t>Madison was clearly conversant with Locke’s works and quoted him on several occasions.</w:t>
      </w:r>
      <w:r w:rsidR="003D1488">
        <w:t xml:space="preserve"> </w:t>
      </w:r>
      <w:r w:rsidR="00702F63" w:rsidRPr="00702F63">
        <w:t>Looking first at Madison’s statement that religion cannot be forced but must flow from a willing mind, “Religion,” he writes, “must be left to the conviction and conscience of every man; and it is the right of every man to exercise it as these may dictate.”</w:t>
      </w:r>
      <w:r w:rsidR="00702F63" w:rsidRPr="00702F63">
        <w:rPr>
          <w:vertAlign w:val="superscript"/>
        </w:rPr>
        <w:footnoteReference w:id="94"/>
      </w:r>
      <w:r w:rsidR="00702F63" w:rsidRPr="00702F63">
        <w:t xml:space="preserve"> Compare this statement with that of Locke, “saving religion consists in the inward persuasion of the mind, without which nothing can be acceptable to God. And such is the nature of the understanding that it cannot be compelled to the belief of anything by outward force.”</w:t>
      </w:r>
      <w:r w:rsidR="00702F63" w:rsidRPr="00702F63">
        <w:rPr>
          <w:vertAlign w:val="superscript"/>
        </w:rPr>
        <w:footnoteReference w:id="95"/>
      </w:r>
    </w:p>
    <w:p w:rsidR="00C50642" w:rsidRDefault="00702F63" w:rsidP="00702F63">
      <w:pPr>
        <w:tabs>
          <w:tab w:val="left" w:pos="720"/>
        </w:tabs>
        <w:spacing w:line="480" w:lineRule="auto"/>
        <w:contextualSpacing/>
      </w:pPr>
      <w:r w:rsidRPr="00702F63">
        <w:tab/>
        <w:t>Madison continues the thought by expressing that freedom of conscience is an unalienable right because, “the opinions of men, depending only on the evidence contemplated by their minds, cannot follow the dictates of other men.”</w:t>
      </w:r>
      <w:r w:rsidRPr="00702F63">
        <w:rPr>
          <w:vertAlign w:val="superscript"/>
        </w:rPr>
        <w:footnoteReference w:id="96"/>
      </w:r>
      <w:r w:rsidRPr="00702F63">
        <w:t xml:space="preserve"> Again we find </w:t>
      </w:r>
      <w:r w:rsidRPr="00702F63">
        <w:lastRenderedPageBreak/>
        <w:t xml:space="preserve">an answer in Locke’s work as he argues against religion being under the auspices of the civil magistrate. “No man can so far abandon the care of his own salvation as blindly to </w:t>
      </w:r>
    </w:p>
    <w:p w:rsidR="00C83D2D" w:rsidRPr="00702F63" w:rsidRDefault="00702F63" w:rsidP="00702F63">
      <w:pPr>
        <w:tabs>
          <w:tab w:val="left" w:pos="720"/>
        </w:tabs>
        <w:spacing w:line="480" w:lineRule="auto"/>
        <w:contextualSpacing/>
      </w:pPr>
      <w:r w:rsidRPr="00702F63">
        <w:t xml:space="preserve">leave the choice to any other.” “No religion which I believe not to be true can be either true or profitable unto me. In vain, therefore, do princes compel their subjects to come into their </w:t>
      </w:r>
      <w:r w:rsidR="003242B8">
        <w:t>c</w:t>
      </w:r>
      <w:r w:rsidRPr="00702F63">
        <w:t>hurch.”</w:t>
      </w:r>
      <w:r w:rsidRPr="00702F63">
        <w:rPr>
          <w:vertAlign w:val="superscript"/>
        </w:rPr>
        <w:footnoteReference w:id="97"/>
      </w:r>
    </w:p>
    <w:p w:rsidR="00C50642" w:rsidRPr="00702F63" w:rsidRDefault="00702F63" w:rsidP="00702F63">
      <w:pPr>
        <w:tabs>
          <w:tab w:val="left" w:pos="720"/>
        </w:tabs>
        <w:spacing w:line="480" w:lineRule="auto"/>
        <w:contextualSpacing/>
      </w:pPr>
      <w:r w:rsidRPr="00702F63">
        <w:tab/>
        <w:t>Madison expresses the idea that a state</w:t>
      </w:r>
      <w:r w:rsidR="00130CF5">
        <w:t>-</w:t>
      </w:r>
      <w:r w:rsidRPr="00702F63">
        <w:t>supported church loses its purity and efficacy. “What have been the fruits?” (of ecclesiastical establishment) he asks, “pride and indolence in the clergy; ignorance and servility in the laity.”</w:t>
      </w:r>
      <w:r w:rsidRPr="00702F63">
        <w:rPr>
          <w:vertAlign w:val="superscript"/>
        </w:rPr>
        <w:footnoteReference w:id="98"/>
      </w:r>
      <w:r w:rsidRPr="00702F63">
        <w:t xml:space="preserve"> He maintain</w:t>
      </w:r>
      <w:r w:rsidR="00C50642">
        <w:t>ed</w:t>
      </w:r>
      <w:r w:rsidRPr="00702F63">
        <w:t xml:space="preserve"> that the church need</w:t>
      </w:r>
      <w:r w:rsidR="00C50642">
        <w:t>ed</w:t>
      </w:r>
      <w:r w:rsidRPr="00702F63">
        <w:t xml:space="preserve"> no help from a government and that the church has survived just as well even in the face of oppressive governments.</w:t>
      </w:r>
      <w:r w:rsidRPr="00702F63">
        <w:rPr>
          <w:vertAlign w:val="superscript"/>
        </w:rPr>
        <w:footnoteReference w:id="99"/>
      </w:r>
      <w:r w:rsidRPr="00702F63">
        <w:t xml:space="preserve"> Madison’s words are corollary to those found in Locke when he says, “how easily and smoothly the clergy changed their decrees, their articles of faith, their form of worship, everything according to the inclination of those kings and queens,” referencing the reigns of Henry VIII, Edward VI, Mary, and Elizabeth.</w:t>
      </w:r>
      <w:r w:rsidRPr="00702F63">
        <w:rPr>
          <w:vertAlign w:val="superscript"/>
        </w:rPr>
        <w:footnoteReference w:id="100"/>
      </w:r>
      <w:r w:rsidRPr="00702F63">
        <w:t xml:space="preserve"> To Locke, the church was a “free and voluntary society,” and required neither “the power of the sword” nor the assistance of the magistrate.</w:t>
      </w:r>
      <w:r w:rsidRPr="00702F63">
        <w:rPr>
          <w:vertAlign w:val="superscript"/>
        </w:rPr>
        <w:footnoteReference w:id="101"/>
      </w:r>
      <w:r w:rsidRPr="00702F63">
        <w:t xml:space="preserve"> Madison’s response </w:t>
      </w:r>
      <w:r w:rsidR="00C50642">
        <w:t>wa</w:t>
      </w:r>
      <w:r w:rsidRPr="00702F63">
        <w:t>s that in many instances the established church upheld the “thrones of political tyranny,” and “Rulers who wished to subvert the public liberty, may have found an established clergy convenient auxiliaries.”</w:t>
      </w:r>
      <w:r w:rsidRPr="00702F63">
        <w:rPr>
          <w:vertAlign w:val="superscript"/>
        </w:rPr>
        <w:footnoteReference w:id="102"/>
      </w:r>
    </w:p>
    <w:p w:rsidR="00702F63" w:rsidRPr="00702F63" w:rsidRDefault="00702F63" w:rsidP="00702F63">
      <w:pPr>
        <w:tabs>
          <w:tab w:val="left" w:pos="720"/>
        </w:tabs>
        <w:spacing w:line="480" w:lineRule="auto"/>
        <w:contextualSpacing/>
      </w:pPr>
      <w:r w:rsidRPr="00702F63">
        <w:lastRenderedPageBreak/>
        <w:tab/>
        <w:t>The thrust of the whole business for both Madison and Locke is summed up in Madison’s statement that, “in matters of Religion, no man’s right is abridged by the institution of Civil Society, and that Religion is wholly exempt from its cognizance.”</w:t>
      </w:r>
      <w:r w:rsidRPr="00702F63">
        <w:rPr>
          <w:vertAlign w:val="superscript"/>
        </w:rPr>
        <w:footnoteReference w:id="103"/>
      </w:r>
      <w:r w:rsidRPr="00702F63">
        <w:t xml:space="preserve"> To both men, religious obligations preceded those of civil society and as such were off limits to any government. No man could truly experience liberty as long as the government was transgressing on a person’s natural rights. </w:t>
      </w:r>
    </w:p>
    <w:p w:rsidR="003304D7" w:rsidRDefault="003304D7" w:rsidP="003304D7">
      <w:pPr>
        <w:tabs>
          <w:tab w:val="left" w:pos="720"/>
        </w:tabs>
        <w:spacing w:line="480" w:lineRule="auto"/>
        <w:contextualSpacing/>
      </w:pPr>
    </w:p>
    <w:p w:rsidR="00FA564F" w:rsidRPr="003304D7" w:rsidRDefault="00FA564F" w:rsidP="00B40071">
      <w:pPr>
        <w:tabs>
          <w:tab w:val="left" w:pos="720"/>
        </w:tabs>
        <w:spacing w:line="480" w:lineRule="auto"/>
        <w:contextualSpacing/>
        <w:jc w:val="center"/>
      </w:pPr>
      <w:r>
        <w:rPr>
          <w:b/>
          <w:i/>
          <w:u w:val="single"/>
        </w:rPr>
        <w:t xml:space="preserve">A </w:t>
      </w:r>
      <w:r w:rsidRPr="008459A4">
        <w:rPr>
          <w:b/>
          <w:i/>
          <w:u w:val="single"/>
        </w:rPr>
        <w:t>Memorial and Remonstrance</w:t>
      </w:r>
    </w:p>
    <w:p w:rsidR="00BF5354" w:rsidRDefault="00BF5354" w:rsidP="00FA564F">
      <w:pPr>
        <w:tabs>
          <w:tab w:val="left" w:pos="720"/>
        </w:tabs>
        <w:spacing w:line="480" w:lineRule="auto"/>
        <w:contextualSpacing/>
      </w:pPr>
    </w:p>
    <w:p w:rsidR="00FA564F" w:rsidRDefault="00FA564F" w:rsidP="00FA564F">
      <w:pPr>
        <w:tabs>
          <w:tab w:val="left" w:pos="720"/>
        </w:tabs>
        <w:spacing w:line="480" w:lineRule="auto"/>
        <w:contextualSpacing/>
      </w:pPr>
      <w:r>
        <w:tab/>
        <w:t xml:space="preserve">The </w:t>
      </w:r>
      <w:r w:rsidR="00593763">
        <w:t xml:space="preserve">foregoing ideas expressed by Madison are all represented in the </w:t>
      </w:r>
      <w:r>
        <w:rPr>
          <w:i/>
        </w:rPr>
        <w:t>Memorial and Remonstrance</w:t>
      </w:r>
      <w:r w:rsidR="00593763">
        <w:rPr>
          <w:i/>
        </w:rPr>
        <w:t>.</w:t>
      </w:r>
      <w:r>
        <w:t xml:space="preserve"> </w:t>
      </w:r>
      <w:r w:rsidR="00593763">
        <w:t xml:space="preserve">This </w:t>
      </w:r>
      <w:r>
        <w:t>was written in 1784 in response to a bill introduced in the Virginia assembly by Patrick Henry for an assessment of taxes to be used for religious purposes. The bill was titled “A Bill Establishing a Provision for the Teachers of the Christian Religion.”</w:t>
      </w:r>
      <w:r>
        <w:rPr>
          <w:rStyle w:val="FootnoteReference"/>
        </w:rPr>
        <w:footnoteReference w:id="104"/>
      </w:r>
      <w:r>
        <w:t xml:space="preserve"> In November of 1784, Madison made what Gaillard Hunt calls a speech which was “the most careful and elaborate ever constructed by [Madison]”</w:t>
      </w:r>
      <w:r>
        <w:rPr>
          <w:rStyle w:val="FootnoteReference"/>
        </w:rPr>
        <w:footnoteReference w:id="105"/>
      </w:r>
      <w:r>
        <w:t xml:space="preserve"> against the bill which was subsequently held over to the next time the assembly met. In the interim Madison was pressured to write the </w:t>
      </w:r>
      <w:r w:rsidRPr="00EA3542">
        <w:rPr>
          <w:i/>
        </w:rPr>
        <w:t>Memorial</w:t>
      </w:r>
      <w:r>
        <w:t xml:space="preserve"> against the religious bill. While the crafters of the assessment bill were well intentioned and concerned for the moral decay they were witnessing in the country around them, Madison could see the potential pitfalls of such a bill</w:t>
      </w:r>
      <w:r w:rsidR="00711CF7">
        <w:t>.</w:t>
      </w:r>
      <w:r>
        <w:rPr>
          <w:rStyle w:val="FootnoteReference"/>
        </w:rPr>
        <w:footnoteReference w:id="106"/>
      </w:r>
      <w:r>
        <w:t xml:space="preserve"> Though he was reluctant to write the </w:t>
      </w:r>
      <w:r w:rsidRPr="00EA3542">
        <w:rPr>
          <w:i/>
        </w:rPr>
        <w:t>Remonstrance</w:t>
      </w:r>
      <w:r>
        <w:t xml:space="preserve">, considering </w:t>
      </w:r>
      <w:r>
        <w:lastRenderedPageBreak/>
        <w:t>how important the subject was to him, he soon gave in to the pressure from George Nicholas who suggested silence on the part of those who were opposed to the bill might be construed as consent.</w:t>
      </w:r>
      <w:r>
        <w:rPr>
          <w:rStyle w:val="FootnoteReference"/>
        </w:rPr>
        <w:footnoteReference w:id="107"/>
      </w:r>
      <w:r>
        <w:t xml:space="preserve"> Writing the </w:t>
      </w:r>
      <w:r w:rsidRPr="00EA3542">
        <w:rPr>
          <w:i/>
        </w:rPr>
        <w:t>Memorial</w:t>
      </w:r>
      <w:r>
        <w:rPr>
          <w:i/>
        </w:rPr>
        <w:t xml:space="preserve"> and Remonstrance</w:t>
      </w:r>
      <w:r>
        <w:t xml:space="preserve"> anonymously</w:t>
      </w:r>
      <w:r w:rsidR="00130CF5">
        <w:t>,</w:t>
      </w:r>
      <w:r>
        <w:t xml:space="preserve"> he had it distributed it across the state as a petition for people to sign and when the assembly reconvened, </w:t>
      </w:r>
      <w:r w:rsidR="00130CF5">
        <w:t>members</w:t>
      </w:r>
      <w:r>
        <w:t xml:space="preserve"> were flooded with signed copies of the </w:t>
      </w:r>
      <w:r w:rsidRPr="00EA3542">
        <w:rPr>
          <w:i/>
        </w:rPr>
        <w:t>Remonstrance</w:t>
      </w:r>
      <w:r>
        <w:t xml:space="preserve">. Eventually the assessment bill was voted down and a bill written by Thomas Jefferson concerning religious freedom was brought to the floor by Madison, voted on, and passed. </w:t>
      </w:r>
    </w:p>
    <w:p w:rsidR="00FA564F" w:rsidRDefault="00EE226A" w:rsidP="00FA564F">
      <w:pPr>
        <w:tabs>
          <w:tab w:val="left" w:pos="720"/>
        </w:tabs>
        <w:spacing w:line="480" w:lineRule="auto"/>
        <w:contextualSpacing/>
      </w:pPr>
      <w:r>
        <w:tab/>
      </w:r>
      <w:r w:rsidR="00FA564F">
        <w:t xml:space="preserve">The </w:t>
      </w:r>
      <w:r w:rsidR="00FA564F" w:rsidRPr="0079314D">
        <w:rPr>
          <w:i/>
        </w:rPr>
        <w:t>Memorial</w:t>
      </w:r>
      <w:r w:rsidR="00FA564F">
        <w:rPr>
          <w:i/>
        </w:rPr>
        <w:t xml:space="preserve"> and Remonstrance</w:t>
      </w:r>
      <w:r w:rsidR="00FA564F">
        <w:t xml:space="preserve"> is one of the sources in which </w:t>
      </w:r>
      <w:r>
        <w:t>Madison</w:t>
      </w:r>
      <w:r w:rsidR="00FA564F">
        <w:t xml:space="preserve"> made clear and cogent arguments where his stance on church and state was concerned.</w:t>
      </w:r>
      <w:r w:rsidR="00FA564F">
        <w:rPr>
          <w:rStyle w:val="FootnoteReference"/>
        </w:rPr>
        <w:footnoteReference w:id="108"/>
      </w:r>
      <w:r w:rsidR="00711CF7">
        <w:t xml:space="preserve"> </w:t>
      </w:r>
      <w:r w:rsidR="00FA564F">
        <w:t>Madison</w:t>
      </w:r>
      <w:r w:rsidR="00711CF7">
        <w:t>’s point,</w:t>
      </w:r>
      <w:r w:rsidR="00FA564F">
        <w:t xml:space="preserve"> that religion ought to flow from a man’s personal belief and cannot be forced</w:t>
      </w:r>
      <w:r w:rsidR="00711CF7">
        <w:t>, and</w:t>
      </w:r>
      <w:r w:rsidR="00FA564F">
        <w:t xml:space="preserve"> “</w:t>
      </w:r>
      <w:r w:rsidR="00FA564F" w:rsidRPr="0079314D">
        <w:t>that Religion or the duty which we owe to our Creator and the Manner of discharging it, can be directed only by reason and conviction, not by force or violence</w:t>
      </w:r>
      <w:r w:rsidR="00161ED4">
        <w:t>,</w:t>
      </w:r>
      <w:r w:rsidR="00FA564F">
        <w:t>”</w:t>
      </w:r>
      <w:r w:rsidR="00FA564F">
        <w:rPr>
          <w:rStyle w:val="FootnoteReference"/>
        </w:rPr>
        <w:footnoteReference w:id="109"/>
      </w:r>
      <w:r w:rsidR="00FA564F">
        <w:t xml:space="preserve"> therefore</w:t>
      </w:r>
      <w:r w:rsidR="00161ED4">
        <w:t xml:space="preserve"> </w:t>
      </w:r>
      <w:r w:rsidR="00711CF7">
        <w:t>demands that religion</w:t>
      </w:r>
      <w:r w:rsidR="00FA564F">
        <w:t xml:space="preserve"> be without the purview of government. </w:t>
      </w:r>
    </w:p>
    <w:p w:rsidR="00C50642" w:rsidRDefault="00C50642" w:rsidP="00FA564F">
      <w:pPr>
        <w:tabs>
          <w:tab w:val="left" w:pos="720"/>
        </w:tabs>
        <w:spacing w:line="480" w:lineRule="auto"/>
        <w:contextualSpacing/>
      </w:pPr>
    </w:p>
    <w:p w:rsidR="002E368C" w:rsidRDefault="002E368C" w:rsidP="002F77DB">
      <w:pPr>
        <w:tabs>
          <w:tab w:val="left" w:pos="720"/>
        </w:tabs>
        <w:spacing w:line="480" w:lineRule="auto"/>
        <w:contextualSpacing/>
        <w:jc w:val="center"/>
        <w:rPr>
          <w:b/>
          <w:u w:val="single"/>
        </w:rPr>
      </w:pPr>
    </w:p>
    <w:p w:rsidR="002E368C" w:rsidRDefault="002E368C" w:rsidP="002F77DB">
      <w:pPr>
        <w:tabs>
          <w:tab w:val="left" w:pos="720"/>
        </w:tabs>
        <w:spacing w:line="480" w:lineRule="auto"/>
        <w:contextualSpacing/>
        <w:jc w:val="center"/>
        <w:rPr>
          <w:b/>
          <w:u w:val="single"/>
        </w:rPr>
      </w:pPr>
    </w:p>
    <w:p w:rsidR="002E368C" w:rsidRDefault="002E368C" w:rsidP="002F77DB">
      <w:pPr>
        <w:tabs>
          <w:tab w:val="left" w:pos="720"/>
        </w:tabs>
        <w:spacing w:line="480" w:lineRule="auto"/>
        <w:contextualSpacing/>
        <w:jc w:val="center"/>
        <w:rPr>
          <w:b/>
          <w:u w:val="single"/>
        </w:rPr>
      </w:pPr>
    </w:p>
    <w:p w:rsidR="00FA564F" w:rsidRDefault="00FA564F" w:rsidP="002F77DB">
      <w:pPr>
        <w:tabs>
          <w:tab w:val="left" w:pos="720"/>
        </w:tabs>
        <w:spacing w:line="480" w:lineRule="auto"/>
        <w:contextualSpacing/>
        <w:jc w:val="center"/>
        <w:rPr>
          <w:b/>
          <w:i/>
          <w:u w:val="single"/>
        </w:rPr>
      </w:pPr>
      <w:r>
        <w:rPr>
          <w:b/>
          <w:u w:val="single"/>
        </w:rPr>
        <w:lastRenderedPageBreak/>
        <w:t xml:space="preserve">Pragmatism and the </w:t>
      </w:r>
      <w:r>
        <w:rPr>
          <w:b/>
          <w:i/>
          <w:u w:val="single"/>
        </w:rPr>
        <w:t>Memorial and Remonstrance</w:t>
      </w:r>
    </w:p>
    <w:p w:rsidR="00161ED4" w:rsidRDefault="00161ED4" w:rsidP="00FA564F">
      <w:pPr>
        <w:tabs>
          <w:tab w:val="left" w:pos="720"/>
        </w:tabs>
        <w:spacing w:line="480" w:lineRule="auto"/>
        <w:contextualSpacing/>
      </w:pPr>
    </w:p>
    <w:p w:rsidR="00FA564F" w:rsidRDefault="00FA564F" w:rsidP="00FA564F">
      <w:pPr>
        <w:tabs>
          <w:tab w:val="left" w:pos="720"/>
        </w:tabs>
        <w:spacing w:line="480" w:lineRule="auto"/>
        <w:contextualSpacing/>
      </w:pPr>
      <w:r>
        <w:tab/>
        <w:t xml:space="preserve">There is one other point to be found in the </w:t>
      </w:r>
      <w:r>
        <w:rPr>
          <w:i/>
        </w:rPr>
        <w:t>Memorial and Remonstrance</w:t>
      </w:r>
      <w:r w:rsidR="00C50642">
        <w:t>,</w:t>
      </w:r>
      <w:r>
        <w:t xml:space="preserve"> however, </w:t>
      </w:r>
      <w:r w:rsidR="00C50642">
        <w:t>which</w:t>
      </w:r>
      <w:r>
        <w:t xml:space="preserve"> is not perhaps as obvious as the other clearly stated concepts. It is evident in light of Madison’s pragmatic approach to legislation. As pointed out above</w:t>
      </w:r>
      <w:r w:rsidR="007F29BC">
        <w:t>,</w:t>
      </w:r>
      <w:r>
        <w:t xml:space="preserve"> he understood very clearly that faction was an enemy of liberty and the cause of the failure of popular governments. Throughout his career Madison worked tirelessly to promote a form of government that he believed would be protective of men’s liberty. Even within the </w:t>
      </w:r>
      <w:r w:rsidRPr="00CF667B">
        <w:rPr>
          <w:i/>
        </w:rPr>
        <w:t>Memorial and Remonstrance</w:t>
      </w:r>
      <w:r>
        <w:t xml:space="preserve"> he speaks of ways to preserve what he calls a “free government.”</w:t>
      </w:r>
      <w:r>
        <w:rPr>
          <w:rStyle w:val="FootnoteReference"/>
        </w:rPr>
        <w:footnoteReference w:id="110"/>
      </w:r>
      <w:r>
        <w:t xml:space="preserve"> Among the freedoms he was concerned with was, as has been discussed, religious freedom for men to worship God as they pleased. It was, perhaps, the most important freedom that he fought for. But Madison also understood that adherence to a religious sect was often a primary promoter of faction.</w:t>
      </w:r>
      <w:r w:rsidRPr="00B1298D">
        <w:t xml:space="preserve"> In paragraph eleven of the </w:t>
      </w:r>
      <w:r w:rsidRPr="00B1298D">
        <w:rPr>
          <w:i/>
        </w:rPr>
        <w:t>Memorial and Remonstrance</w:t>
      </w:r>
      <w:r w:rsidRPr="00B1298D">
        <w:t xml:space="preserve"> he makes the statement, </w:t>
      </w:r>
    </w:p>
    <w:p w:rsidR="007F29BC" w:rsidRPr="00B1298D" w:rsidRDefault="007F29BC" w:rsidP="00FA564F">
      <w:pPr>
        <w:tabs>
          <w:tab w:val="left" w:pos="720"/>
        </w:tabs>
        <w:spacing w:line="480" w:lineRule="auto"/>
        <w:contextualSpacing/>
      </w:pPr>
    </w:p>
    <w:p w:rsidR="00FA564F" w:rsidRDefault="00FA564F" w:rsidP="00FA564F">
      <w:pPr>
        <w:tabs>
          <w:tab w:val="left" w:pos="720"/>
        </w:tabs>
        <w:spacing w:line="240" w:lineRule="auto"/>
        <w:ind w:left="720"/>
        <w:contextualSpacing/>
      </w:pPr>
      <w:r w:rsidRPr="00B1298D">
        <w:t xml:space="preserve">Torrents of blood have been spilt in the old world, by vain attempts of the secular arm to extinguish Religious discord, by proscribing all difference in Religious opinions. Time has at length revealed the true remedy. Every relaxation of narrow and rigorous policy, wherever it has been tried, has been found to assuage the disease. The American Theatre has exhibited proofs, that equal and compleat </w:t>
      </w:r>
      <w:r w:rsidRPr="00244F78">
        <w:t>(sic)</w:t>
      </w:r>
      <w:r>
        <w:t xml:space="preserve"> </w:t>
      </w:r>
      <w:r w:rsidRPr="00B1298D">
        <w:t>liberty, if it does not wholly eradicate it, sufficiently destroys its malignant influence on the health and prosperity of the State.</w:t>
      </w:r>
      <w:r w:rsidRPr="00B1298D">
        <w:rPr>
          <w:vertAlign w:val="superscript"/>
        </w:rPr>
        <w:footnoteReference w:id="111"/>
      </w:r>
    </w:p>
    <w:p w:rsidR="00FA564F" w:rsidRDefault="00FA564F" w:rsidP="00FA564F">
      <w:pPr>
        <w:tabs>
          <w:tab w:val="left" w:pos="720"/>
        </w:tabs>
        <w:spacing w:line="480" w:lineRule="auto"/>
        <w:contextualSpacing/>
      </w:pPr>
    </w:p>
    <w:p w:rsidR="00FA564F" w:rsidRDefault="00FA564F" w:rsidP="00FA564F">
      <w:pPr>
        <w:tabs>
          <w:tab w:val="left" w:pos="720"/>
        </w:tabs>
        <w:spacing w:line="480" w:lineRule="auto"/>
        <w:contextualSpacing/>
      </w:pPr>
      <w:r>
        <w:lastRenderedPageBreak/>
        <w:tab/>
        <w:t>Madison the pragmatist, as Marc Arkin might suggest, was not so much concerned that religious factions were going to subvert the government,</w:t>
      </w:r>
      <w:r>
        <w:rPr>
          <w:rStyle w:val="FootnoteReference"/>
        </w:rPr>
        <w:footnoteReference w:id="112"/>
      </w:r>
      <w:r>
        <w:t xml:space="preserve"> but he understood his history well. He realized that if the government sought to determine orthodoxy by the establishment of one sect over another or one religion in preference of another, violence was sure to follow and that violence, as history bore witness to, tended to the destabilization of governments,</w:t>
      </w:r>
      <w:r>
        <w:rPr>
          <w:rStyle w:val="FootnoteReference"/>
        </w:rPr>
        <w:footnoteReference w:id="113"/>
      </w:r>
      <w:r>
        <w:t xml:space="preserve"> something that Madison knew needed to be avoided if the new United States government was to survive. </w:t>
      </w:r>
    </w:p>
    <w:p w:rsidR="00FA564F" w:rsidRPr="00CF667B" w:rsidRDefault="00FA564F" w:rsidP="00FA564F">
      <w:pPr>
        <w:tabs>
          <w:tab w:val="left" w:pos="720"/>
        </w:tabs>
        <w:spacing w:line="480" w:lineRule="auto"/>
        <w:contextualSpacing/>
      </w:pPr>
    </w:p>
    <w:p w:rsidR="00FA564F" w:rsidRDefault="00FA564F" w:rsidP="00B40071">
      <w:pPr>
        <w:tabs>
          <w:tab w:val="left" w:pos="720"/>
        </w:tabs>
        <w:spacing w:line="480" w:lineRule="auto"/>
        <w:contextualSpacing/>
        <w:jc w:val="center"/>
        <w:rPr>
          <w:b/>
          <w:u w:val="single"/>
        </w:rPr>
      </w:pPr>
      <w:r>
        <w:rPr>
          <w:b/>
          <w:u w:val="single"/>
        </w:rPr>
        <w:t>Conclusions Concerning Madison and the Establishment Clause</w:t>
      </w:r>
    </w:p>
    <w:p w:rsidR="00FA564F" w:rsidRDefault="00FA564F" w:rsidP="00FA564F">
      <w:pPr>
        <w:tabs>
          <w:tab w:val="left" w:pos="720"/>
        </w:tabs>
        <w:spacing w:line="480" w:lineRule="auto"/>
        <w:contextualSpacing/>
      </w:pPr>
    </w:p>
    <w:p w:rsidR="00FA564F" w:rsidRDefault="00FA564F" w:rsidP="00FA564F">
      <w:pPr>
        <w:tabs>
          <w:tab w:val="left" w:pos="720"/>
        </w:tabs>
        <w:spacing w:line="480" w:lineRule="auto"/>
        <w:contextualSpacing/>
      </w:pPr>
      <w:r>
        <w:tab/>
        <w:t>There is no question that James Madison believed that men, in their liberty, had a natural right to freedom of conscience. A man’s eternity and his relationship to his God through whatever form of doctrine he believed in was a deeply personal subject. True belief could never be forced but flowed from a willing and believing heart. These are sentiments that he expressed often throughout his writings, even those that were never written for public consumption.</w:t>
      </w:r>
    </w:p>
    <w:p w:rsidR="00FA564F" w:rsidRDefault="00FA564F" w:rsidP="00FA564F">
      <w:pPr>
        <w:tabs>
          <w:tab w:val="left" w:pos="720"/>
        </w:tabs>
        <w:spacing w:line="480" w:lineRule="auto"/>
        <w:contextualSpacing/>
      </w:pPr>
      <w:r>
        <w:tab/>
        <w:t xml:space="preserve"> There is also evidence in Madison’s writings that grasped the concept that the establishment of a church in any country or time was not conducive to the purity and integrity of the Christian religion. His own experience as well as his historical research showed that in any situation where the government protected the church there was “pride, </w:t>
      </w:r>
      <w:r>
        <w:lastRenderedPageBreak/>
        <w:t>ignorance, and knavery among the priesthood and wickedness among the laity.”</w:t>
      </w:r>
      <w:r>
        <w:rPr>
          <w:rStyle w:val="FootnoteReference"/>
        </w:rPr>
        <w:footnoteReference w:id="114"/>
      </w:r>
      <w:r>
        <w:t xml:space="preserve"> Madison’s own study of history actually showed the opposite paradigm to be true, that the church flourished not only without the help of the government but often in spite of the opposition of the government.</w:t>
      </w:r>
      <w:r>
        <w:rPr>
          <w:rStyle w:val="FootnoteReference"/>
        </w:rPr>
        <w:footnoteReference w:id="115"/>
      </w:r>
    </w:p>
    <w:p w:rsidR="00FA564F" w:rsidRDefault="00FA564F" w:rsidP="00FA564F">
      <w:pPr>
        <w:tabs>
          <w:tab w:val="left" w:pos="720"/>
        </w:tabs>
        <w:spacing w:line="480" w:lineRule="auto"/>
        <w:contextualSpacing/>
      </w:pPr>
      <w:r>
        <w:tab/>
        <w:t>While both of these arguments of Madison are true and should be taken into consideration in any discussion of the Establishment Clause, what is perhaps more important is the fact that James Madison saw a very pragmatic reason for including the Establishment Clause in the Bill of Rights. Even before Shays</w:t>
      </w:r>
      <w:r w:rsidR="00F4184E">
        <w:t>’</w:t>
      </w:r>
      <w:r>
        <w:t xml:space="preserve"> </w:t>
      </w:r>
      <w:r w:rsidR="008B5326">
        <w:t>R</w:t>
      </w:r>
      <w:r>
        <w:t>ebellion, during Madison’s congressional term he was more than aware of the inefficacy and impotence of the confederacy,</w:t>
      </w:r>
      <w:r w:rsidRPr="002274C8">
        <w:t xml:space="preserve"> created by the Articles of Confederation</w:t>
      </w:r>
      <w:r>
        <w:t>, a fact that Madison understood stemmed directly from the operations of factions.</w:t>
      </w:r>
    </w:p>
    <w:p w:rsidR="00B53E9E" w:rsidRDefault="00FA564F" w:rsidP="00FA564F">
      <w:pPr>
        <w:tabs>
          <w:tab w:val="left" w:pos="720"/>
        </w:tabs>
        <w:spacing w:line="480" w:lineRule="auto"/>
        <w:contextualSpacing/>
      </w:pPr>
      <w:r>
        <w:tab/>
      </w:r>
      <w:r w:rsidRPr="00B1242B">
        <w:t>Faction, to Madison, was the greatest danger to liberty</w:t>
      </w:r>
      <w:r w:rsidR="00AB12A6">
        <w:t>,</w:t>
      </w:r>
      <w:r w:rsidRPr="00B1242B">
        <w:t xml:space="preserve"> and the </w:t>
      </w:r>
      <w:r w:rsidR="00AB12A6">
        <w:t>r</w:t>
      </w:r>
      <w:r w:rsidRPr="00B1242B">
        <w:t xml:space="preserve">epublican form of government was the greatest benefit to it. This was Madison’s passion. If the young country was to succeed in its </w:t>
      </w:r>
      <w:r w:rsidR="00AB12A6">
        <w:t>r</w:t>
      </w:r>
      <w:r w:rsidRPr="00B1242B">
        <w:t>epublican government as Madison hoped, then the deleterious effects of faction, in all its forms, must be eliminated or at the very least ameliorated, and there is no question that Madison saw religious sectarianism as a form of faction.</w:t>
      </w:r>
      <w:r>
        <w:t xml:space="preserve"> His frequent reference to Voltaire’s </w:t>
      </w:r>
      <w:r w:rsidRPr="008D3C0B">
        <w:t>aphorism</w:t>
      </w:r>
      <w:r>
        <w:t xml:space="preserve"> concerning religion, his recognition that government attempts to settle religious disputes by establishment can spill “torrents of blood,” and his recognition of the functionality of states like </w:t>
      </w:r>
    </w:p>
    <w:p w:rsidR="00FA564F" w:rsidRDefault="00FA564F" w:rsidP="00FA564F">
      <w:pPr>
        <w:tabs>
          <w:tab w:val="left" w:pos="720"/>
        </w:tabs>
        <w:spacing w:line="480" w:lineRule="auto"/>
        <w:contextualSpacing/>
      </w:pPr>
      <w:r>
        <w:t xml:space="preserve">Pennsylvania where religious freedom was the norm, developed his belief that the only way to avoid issues with religious factionalism is to create a society where all religions </w:t>
      </w:r>
      <w:r>
        <w:lastRenderedPageBreak/>
        <w:t>are free to pursue their own doctrines and beliefs.</w:t>
      </w:r>
      <w:r w:rsidR="00602CD9">
        <w:t xml:space="preserve"> By so doing, no one faction could gain the upper hand.</w:t>
      </w:r>
    </w:p>
    <w:p w:rsidR="00C83D2D" w:rsidRDefault="00FA564F" w:rsidP="00FA564F">
      <w:pPr>
        <w:tabs>
          <w:tab w:val="left" w:pos="720"/>
        </w:tabs>
        <w:spacing w:line="480" w:lineRule="auto"/>
        <w:contextualSpacing/>
      </w:pPr>
      <w:r>
        <w:tab/>
        <w:t>Madison was well versed in the history of the Reformation and understood the dangers to states where established religions were concerned. His notes from his speech against the Assessments for Support of Religion indicate this connection.</w:t>
      </w:r>
      <w:r>
        <w:rPr>
          <w:rStyle w:val="FootnoteReference"/>
        </w:rPr>
        <w:footnoteReference w:id="116"/>
      </w:r>
      <w:r>
        <w:t xml:space="preserve"> Madison’s experience</w:t>
      </w:r>
      <w:r w:rsidR="00CC017C">
        <w:t xml:space="preserve"> with religious persecution</w:t>
      </w:r>
      <w:r>
        <w:t xml:space="preserve"> in his home state of Virginia only served to confirm his fears where the establishment of a church was concerned. More importantly though Madison’s time spent in the state of Pennsylvania proved to him that there was a solution in allowing </w:t>
      </w:r>
      <w:r w:rsidR="00AB12A6">
        <w:t xml:space="preserve">adherents of </w:t>
      </w:r>
      <w:r>
        <w:t>each religion to follow the dictates of their conscience.</w:t>
      </w:r>
    </w:p>
    <w:p w:rsidR="00FA564F" w:rsidRDefault="00FA564F" w:rsidP="00FA564F">
      <w:pPr>
        <w:tabs>
          <w:tab w:val="left" w:pos="720"/>
        </w:tabs>
        <w:spacing w:line="480" w:lineRule="auto"/>
        <w:contextualSpacing/>
      </w:pPr>
      <w:r>
        <w:tab/>
        <w:t xml:space="preserve">James Madison was never interested in including a Bill of Rights in the Constitution, but he was also a very pragmatic man, and the ratification of the Constitution was paramount in his mind. </w:t>
      </w:r>
      <w:r w:rsidR="00EE0916">
        <w:t>T</w:t>
      </w:r>
      <w:r>
        <w:t xml:space="preserve">o allay the fears of those who believed that a strong federal government would simply be </w:t>
      </w:r>
      <w:r w:rsidRPr="00244F78">
        <w:t>exchanging one oppressive government for another</w:t>
      </w:r>
      <w:r w:rsidR="00AB12A6">
        <w:t>,</w:t>
      </w:r>
      <w:r>
        <w:t xml:space="preserve"> a bill of rights must be tendered</w:t>
      </w:r>
      <w:r w:rsidR="00AB12A6">
        <w:t>. H</w:t>
      </w:r>
      <w:r>
        <w:t>is concern for liberty compelled him to craft a document that allowed for the peace and happiness of the people</w:t>
      </w:r>
      <w:r w:rsidR="00AB12A6">
        <w:t>,</w:t>
      </w:r>
      <w:r>
        <w:t xml:space="preserve"> which gave rise to a stable and well-balanced government, not controlled by faction.</w:t>
      </w:r>
    </w:p>
    <w:p w:rsidR="004C1AB2" w:rsidRDefault="00FA564F" w:rsidP="001D1114">
      <w:pPr>
        <w:tabs>
          <w:tab w:val="left" w:pos="720"/>
        </w:tabs>
        <w:spacing w:line="480" w:lineRule="auto"/>
        <w:contextualSpacing/>
      </w:pPr>
      <w:r>
        <w:tab/>
        <w:t xml:space="preserve">The Establishment Clause, therefore, is for the protection of the natural right of the citizens of the United States in freedom of conscience where their relationship with their God is concerned. Religion is outside the purview of the government, nor can the government, no matter how well meaning, dictate to any person how they should worship. However, as much as the Establishment Clause protects the church against the </w:t>
      </w:r>
      <w:r>
        <w:lastRenderedPageBreak/>
        <w:t xml:space="preserve">intrusion by the state, it also protects the state against the destabilizing effect of religious factional violence engendered when members of one confession feel threatened by another and see their eternal destiny in jeopardy. It is with this concept in mind that I shall look </w:t>
      </w:r>
      <w:r w:rsidR="00EE0916">
        <w:t>at the Reformation to understand how confessionalism changed the relationship between the church and state</w:t>
      </w:r>
      <w:r>
        <w:t>.</w:t>
      </w:r>
    </w:p>
    <w:p w:rsidR="0095079B" w:rsidRDefault="0095079B" w:rsidP="001D1114">
      <w:pPr>
        <w:tabs>
          <w:tab w:val="left" w:pos="720"/>
        </w:tabs>
        <w:spacing w:line="480" w:lineRule="auto"/>
        <w:contextualSpacing/>
      </w:pPr>
    </w:p>
    <w:p w:rsidR="0095079B" w:rsidRDefault="0095079B" w:rsidP="001D1114">
      <w:pPr>
        <w:tabs>
          <w:tab w:val="left" w:pos="720"/>
        </w:tabs>
        <w:spacing w:line="480" w:lineRule="auto"/>
        <w:contextualSpacing/>
      </w:pPr>
    </w:p>
    <w:p w:rsidR="0095079B" w:rsidRPr="0095079B" w:rsidRDefault="0095079B" w:rsidP="0095079B">
      <w:pPr>
        <w:tabs>
          <w:tab w:val="left" w:pos="720"/>
        </w:tabs>
        <w:spacing w:line="480" w:lineRule="auto"/>
        <w:contextualSpacing/>
      </w:pPr>
    </w:p>
    <w:p w:rsidR="0095079B" w:rsidRDefault="0095079B" w:rsidP="001D1114">
      <w:pPr>
        <w:tabs>
          <w:tab w:val="left" w:pos="720"/>
        </w:tabs>
        <w:spacing w:line="480" w:lineRule="auto"/>
        <w:contextualSpacing/>
        <w:sectPr w:rsidR="0095079B" w:rsidSect="008F01C7">
          <w:footnotePr>
            <w:numRestart w:val="eachSect"/>
          </w:footnotePr>
          <w:pgSz w:w="12240" w:h="15840"/>
          <w:pgMar w:top="1440" w:right="1440" w:bottom="1440" w:left="2160" w:header="720" w:footer="1008" w:gutter="0"/>
          <w:cols w:space="720"/>
          <w:docGrid w:linePitch="360"/>
        </w:sectPr>
      </w:pPr>
    </w:p>
    <w:p w:rsidR="00FA564F" w:rsidRDefault="00303CB5" w:rsidP="00FA564F">
      <w:pPr>
        <w:tabs>
          <w:tab w:val="left" w:pos="720"/>
        </w:tabs>
        <w:spacing w:line="480" w:lineRule="auto"/>
        <w:contextualSpacing/>
        <w:jc w:val="center"/>
        <w:rPr>
          <w:b/>
          <w:u w:val="single"/>
        </w:rPr>
      </w:pPr>
      <w:r>
        <w:rPr>
          <w:b/>
          <w:u w:val="single"/>
        </w:rPr>
        <w:lastRenderedPageBreak/>
        <w:t>CHAPTER II</w:t>
      </w:r>
      <w:r w:rsidR="00CF3430">
        <w:rPr>
          <w:b/>
          <w:u w:val="single"/>
        </w:rPr>
        <w:t>I</w:t>
      </w:r>
    </w:p>
    <w:p w:rsidR="00FA564F" w:rsidRDefault="00FA564F" w:rsidP="00FA564F">
      <w:pPr>
        <w:tabs>
          <w:tab w:val="left" w:pos="720"/>
        </w:tabs>
        <w:spacing w:line="240" w:lineRule="auto"/>
        <w:contextualSpacing/>
        <w:jc w:val="center"/>
        <w:rPr>
          <w:b/>
          <w:u w:val="single"/>
        </w:rPr>
      </w:pPr>
      <w:r>
        <w:rPr>
          <w:b/>
          <w:u w:val="single"/>
        </w:rPr>
        <w:t xml:space="preserve"> </w:t>
      </w:r>
      <w:r w:rsidRPr="00D062B8">
        <w:rPr>
          <w:b/>
          <w:u w:val="single"/>
        </w:rPr>
        <w:t>CONFESSIONALISM</w:t>
      </w:r>
    </w:p>
    <w:p w:rsidR="00FA564F" w:rsidRPr="00D062B8" w:rsidRDefault="00FA564F" w:rsidP="00FA564F">
      <w:pPr>
        <w:tabs>
          <w:tab w:val="left" w:pos="720"/>
        </w:tabs>
        <w:spacing w:line="240" w:lineRule="auto"/>
        <w:contextualSpacing/>
        <w:jc w:val="center"/>
        <w:rPr>
          <w:b/>
          <w:u w:val="single"/>
        </w:rPr>
      </w:pPr>
    </w:p>
    <w:p w:rsidR="00FA564F" w:rsidRDefault="00FA564F" w:rsidP="00FA564F">
      <w:pPr>
        <w:tabs>
          <w:tab w:val="left" w:pos="720"/>
        </w:tabs>
        <w:spacing w:line="240" w:lineRule="auto"/>
        <w:contextualSpacing/>
        <w:jc w:val="center"/>
      </w:pPr>
    </w:p>
    <w:p w:rsidR="00FA564F" w:rsidRDefault="00FA564F" w:rsidP="00FA564F">
      <w:pPr>
        <w:tabs>
          <w:tab w:val="left" w:pos="720"/>
        </w:tabs>
        <w:spacing w:line="240" w:lineRule="auto"/>
        <w:contextualSpacing/>
      </w:pPr>
    </w:p>
    <w:p w:rsidR="00FA564F" w:rsidRPr="00F541C6" w:rsidRDefault="00FA564F" w:rsidP="00FA564F">
      <w:pPr>
        <w:tabs>
          <w:tab w:val="left" w:pos="720"/>
        </w:tabs>
        <w:spacing w:line="480" w:lineRule="auto"/>
        <w:contextualSpacing/>
      </w:pPr>
      <w:r w:rsidRPr="00F541C6">
        <w:tab/>
        <w:t xml:space="preserve">In 1529, in the opening of his </w:t>
      </w:r>
      <w:r w:rsidRPr="00F541C6">
        <w:rPr>
          <w:i/>
        </w:rPr>
        <w:t>Small Catechism</w:t>
      </w:r>
      <w:r w:rsidRPr="00F541C6">
        <w:t>, Martin Luther was not impressed with the condition of the church. “[A]ll are called Christians, have been baptized, and enjoy the use of the sacraments, although they know neither the Lord’s Prayer, nor the Creed, nor the Ten Commandments.”</w:t>
      </w:r>
      <w:r w:rsidRPr="00F541C6">
        <w:rPr>
          <w:vertAlign w:val="superscript"/>
        </w:rPr>
        <w:footnoteReference w:id="117"/>
      </w:r>
      <w:r w:rsidRPr="00F541C6">
        <w:t xml:space="preserve"> He laid the blame squarely on the shoulders of those whose responsibility it was to instruct the people, “O ye bishops! How will ye ever render account to Christ for having so shamefully neglected the people.”</w:t>
      </w:r>
      <w:r w:rsidRPr="00F541C6">
        <w:rPr>
          <w:vertAlign w:val="superscript"/>
        </w:rPr>
        <w:footnoteReference w:id="118"/>
      </w:r>
      <w:r w:rsidRPr="00F541C6">
        <w:t xml:space="preserve"> </w:t>
      </w:r>
    </w:p>
    <w:p w:rsidR="00FA564F" w:rsidRPr="00F541C6" w:rsidRDefault="00FA564F" w:rsidP="00FA564F">
      <w:pPr>
        <w:tabs>
          <w:tab w:val="left" w:pos="720"/>
        </w:tabs>
        <w:spacing w:line="480" w:lineRule="auto"/>
        <w:contextualSpacing/>
      </w:pPr>
      <w:r w:rsidRPr="00F541C6">
        <w:tab/>
        <w:t xml:space="preserve"> Like his predecessors in the area of reform, Luther was disturbed by the avarice displayed, and </w:t>
      </w:r>
      <w:r>
        <w:t>questionable</w:t>
      </w:r>
      <w:r w:rsidRPr="00F541C6">
        <w:t xml:space="preserve"> doctrine </w:t>
      </w:r>
      <w:r w:rsidR="00C01BCD">
        <w:t>that had infiltrated the Catholic Church. For Luther, this concerned</w:t>
      </w:r>
      <w:r w:rsidRPr="00F541C6">
        <w:t xml:space="preserve"> the practice of indulgences. </w:t>
      </w:r>
      <w:r w:rsidR="000C0E53">
        <w:t>I</w:t>
      </w:r>
      <w:r w:rsidR="00C01BCD">
        <w:t xml:space="preserve">t is unlikely </w:t>
      </w:r>
      <w:r w:rsidR="009450B9">
        <w:t>when</w:t>
      </w:r>
      <w:r w:rsidR="00C01BCD">
        <w:t xml:space="preserve"> Luther</w:t>
      </w:r>
      <w:r w:rsidR="00432FE2">
        <w:t xml:space="preserve"> wrote the </w:t>
      </w:r>
      <w:r w:rsidR="00857FB6">
        <w:t>Ninety-Five</w:t>
      </w:r>
      <w:r w:rsidR="00432FE2">
        <w:t xml:space="preserve"> Theses in 1517 he</w:t>
      </w:r>
      <w:r w:rsidR="00C01BCD">
        <w:t xml:space="preserve"> intended, or could even </w:t>
      </w:r>
      <w:r w:rsidR="000C0E53">
        <w:t>foresee</w:t>
      </w:r>
      <w:r w:rsidR="00C01BCD">
        <w:t xml:space="preserve"> that his challenge would </w:t>
      </w:r>
      <w:r w:rsidR="000C0E53">
        <w:t xml:space="preserve">not only </w:t>
      </w:r>
      <w:r w:rsidR="00C01BCD">
        <w:t>split the church into two distinct confessions</w:t>
      </w:r>
      <w:r w:rsidR="000C0E53">
        <w:t xml:space="preserve"> but also change the nature of the early modern government and the church’s relationship to it. At </w:t>
      </w:r>
      <w:r w:rsidRPr="00F541C6">
        <w:t>the diet of Augsburg</w:t>
      </w:r>
      <w:r w:rsidR="008B5326">
        <w:t>,</w:t>
      </w:r>
      <w:r w:rsidRPr="00F541C6">
        <w:t xml:space="preserve"> Philip Melanchthon, with Luther’s approval, drafted a confession later known as the Augsburg Confession</w:t>
      </w:r>
      <w:r w:rsidR="008B5326">
        <w:t>. This</w:t>
      </w:r>
      <w:r w:rsidRPr="00F541C6">
        <w:t xml:space="preserve"> became the “classic confessional statement of Lutheranism</w:t>
      </w:r>
      <w:r w:rsidR="008B5326">
        <w:t>;</w:t>
      </w:r>
      <w:r w:rsidRPr="00F541C6">
        <w:t>”</w:t>
      </w:r>
      <w:r w:rsidR="008B5326">
        <w:t xml:space="preserve"> however, it was</w:t>
      </w:r>
      <w:r w:rsidR="000C0E53">
        <w:t xml:space="preserve"> t</w:t>
      </w:r>
      <w:r w:rsidRPr="00F541C6">
        <w:t xml:space="preserve">he Saxon elector, John, </w:t>
      </w:r>
      <w:r w:rsidR="008B5326">
        <w:t xml:space="preserve">who </w:t>
      </w:r>
      <w:r w:rsidRPr="00F541C6">
        <w:t xml:space="preserve">obtained </w:t>
      </w:r>
      <w:r w:rsidR="008B5326">
        <w:t xml:space="preserve">the </w:t>
      </w:r>
      <w:r w:rsidRPr="00F541C6">
        <w:t>signatures from five territories</w:t>
      </w:r>
      <w:r w:rsidR="008B5326">
        <w:t>, not Luther</w:t>
      </w:r>
      <w:r w:rsidRPr="00F541C6">
        <w:t>.</w:t>
      </w:r>
      <w:r w:rsidRPr="00F541C6">
        <w:rPr>
          <w:vertAlign w:val="superscript"/>
        </w:rPr>
        <w:footnoteReference w:id="119"/>
      </w:r>
    </w:p>
    <w:p w:rsidR="00FA564F" w:rsidRDefault="00FA564F" w:rsidP="00FA564F">
      <w:pPr>
        <w:tabs>
          <w:tab w:val="left" w:pos="720"/>
        </w:tabs>
        <w:spacing w:line="480" w:lineRule="auto"/>
        <w:contextualSpacing/>
      </w:pPr>
      <w:r w:rsidRPr="00F541C6">
        <w:lastRenderedPageBreak/>
        <w:tab/>
      </w:r>
      <w:r w:rsidR="00D615B4">
        <w:t>T</w:t>
      </w:r>
      <w:r w:rsidRPr="00F541C6">
        <w:t>he Augsburg confession</w:t>
      </w:r>
      <w:r w:rsidR="00D615B4">
        <w:t xml:space="preserve"> essentially became the central </w:t>
      </w:r>
      <w:r w:rsidRPr="00F541C6">
        <w:t xml:space="preserve">doctrinal statement of the </w:t>
      </w:r>
      <w:r w:rsidR="00865910">
        <w:t xml:space="preserve">early Lutherans. </w:t>
      </w:r>
      <w:r w:rsidRPr="00F541C6">
        <w:t xml:space="preserve"> </w:t>
      </w:r>
      <w:r w:rsidR="00865910">
        <w:t>O</w:t>
      </w:r>
      <w:r w:rsidRPr="00F541C6">
        <w:t>ther confessions</w:t>
      </w:r>
      <w:r w:rsidR="00865910">
        <w:t xml:space="preserve"> used it as a model for establishing their own confessional statements </w:t>
      </w:r>
      <w:r w:rsidRPr="00F541C6">
        <w:t>and in it</w:t>
      </w:r>
      <w:r w:rsidR="00865910">
        <w:t xml:space="preserve">s creation, </w:t>
      </w:r>
      <w:r w:rsidRPr="00F541C6">
        <w:t>ecclesiastical and political history are woven</w:t>
      </w:r>
      <w:r w:rsidR="00865910">
        <w:t xml:space="preserve"> together.</w:t>
      </w:r>
      <w:r w:rsidRPr="00F541C6">
        <w:rPr>
          <w:vertAlign w:val="superscript"/>
        </w:rPr>
        <w:footnoteReference w:id="120"/>
      </w:r>
      <w:r w:rsidRPr="00F541C6">
        <w:t xml:space="preserve"> </w:t>
      </w:r>
      <w:r w:rsidR="00865910">
        <w:t>T</w:t>
      </w:r>
      <w:r w:rsidRPr="00F541C6">
        <w:t xml:space="preserve">he confession </w:t>
      </w:r>
      <w:r w:rsidR="00865910">
        <w:t>became the statement which defined early Protestants and their differences from the Catholic Church and its doctrine.</w:t>
      </w:r>
      <w:r w:rsidRPr="00F541C6">
        <w:rPr>
          <w:vertAlign w:val="superscript"/>
        </w:rPr>
        <w:footnoteReference w:id="121"/>
      </w:r>
      <w:r w:rsidRPr="00F541C6">
        <w:t xml:space="preserve"> </w:t>
      </w:r>
      <w:r w:rsidR="000C0E53">
        <w:t>T</w:t>
      </w:r>
      <w:r w:rsidRPr="00B623E3">
        <w:t xml:space="preserve">he establishment of the Augsburg confession was the point at which confessionalization began. </w:t>
      </w:r>
    </w:p>
    <w:p w:rsidR="00FA564F" w:rsidRDefault="00FA564F" w:rsidP="00FA564F">
      <w:pPr>
        <w:tabs>
          <w:tab w:val="left" w:pos="720"/>
        </w:tabs>
        <w:spacing w:line="480" w:lineRule="auto"/>
        <w:contextualSpacing/>
      </w:pPr>
      <w:r>
        <w:tab/>
      </w:r>
    </w:p>
    <w:p w:rsidR="00FA564F" w:rsidRDefault="00FA564F" w:rsidP="00B40071">
      <w:pPr>
        <w:tabs>
          <w:tab w:val="left" w:pos="720"/>
        </w:tabs>
        <w:spacing w:line="480" w:lineRule="auto"/>
        <w:contextualSpacing/>
        <w:jc w:val="center"/>
        <w:rPr>
          <w:b/>
          <w:u w:val="single"/>
        </w:rPr>
      </w:pPr>
      <w:r w:rsidRPr="00F541C6">
        <w:rPr>
          <w:b/>
          <w:u w:val="single"/>
        </w:rPr>
        <w:t>What is Confessionalism and How Does it Work?</w:t>
      </w:r>
    </w:p>
    <w:p w:rsidR="00AF5FDE" w:rsidRDefault="00AF5FDE" w:rsidP="001D530F">
      <w:pPr>
        <w:tabs>
          <w:tab w:val="left" w:pos="720"/>
        </w:tabs>
        <w:spacing w:line="480" w:lineRule="auto"/>
        <w:contextualSpacing/>
        <w:rPr>
          <w:b/>
          <w:u w:val="single"/>
        </w:rPr>
      </w:pPr>
    </w:p>
    <w:p w:rsidR="001D530F" w:rsidRDefault="00AF5FDE" w:rsidP="00AF5FDE">
      <w:pPr>
        <w:tabs>
          <w:tab w:val="left" w:pos="720"/>
        </w:tabs>
        <w:spacing w:line="480" w:lineRule="auto"/>
        <w:contextualSpacing/>
      </w:pPr>
      <w:r w:rsidRPr="00AF5FDE">
        <w:tab/>
        <w:t>Confessionalism is the developing of the identity of the group, usually within a geographic or political boundary</w:t>
      </w:r>
      <w:r>
        <w:t xml:space="preserve"> based on accepted confessional doctrines</w:t>
      </w:r>
      <w:r w:rsidRPr="00AF5FDE">
        <w:t>. Le</w:t>
      </w:r>
      <w:bookmarkStart w:id="30" w:name="_Hlk513036020"/>
      <w:r w:rsidRPr="00AF5FDE">
        <w:t>adership of the various groups often went to extraordinary efforts to indoctrinate people into the right forms of belief and instilled in them a strong conception that theirs was the only correct doctrine. Conversely, they also communicated to their adherents what they saw as flawed or heretical doctrine of competing confessions and made every effort to dissuade their people from practicing those doctrines.</w:t>
      </w:r>
      <w:bookmarkEnd w:id="30"/>
    </w:p>
    <w:p w:rsidR="00AF5FDE" w:rsidRDefault="00AF5FDE" w:rsidP="00AF5FDE">
      <w:pPr>
        <w:tabs>
          <w:tab w:val="left" w:pos="720"/>
        </w:tabs>
        <w:spacing w:line="480" w:lineRule="auto"/>
        <w:contextualSpacing/>
      </w:pPr>
      <w:r>
        <w:tab/>
        <w:t xml:space="preserve">There were many processes that were part of confessionalism. Sermons and teachings of the </w:t>
      </w:r>
      <w:r w:rsidR="00295C98">
        <w:t>confessional church were one way</w:t>
      </w:r>
      <w:r w:rsidR="001D530F">
        <w:t>;</w:t>
      </w:r>
      <w:r w:rsidR="00295C98">
        <w:t xml:space="preserve"> hymns, plays</w:t>
      </w:r>
      <w:r w:rsidR="001D530F">
        <w:t>,</w:t>
      </w:r>
      <w:r w:rsidR="00295C98">
        <w:t xml:space="preserve"> and, catechisms another. Any form of ritual might be employed to give the people a sense of corporate belonging while at the same time indoctrinating them into the fundamental belief structure of </w:t>
      </w:r>
      <w:r w:rsidR="001D530F">
        <w:t xml:space="preserve">their </w:t>
      </w:r>
      <w:r w:rsidR="00295C98">
        <w:t xml:space="preserve">church. Each confession had </w:t>
      </w:r>
      <w:r w:rsidR="00AB12A6">
        <w:t>beliefs</w:t>
      </w:r>
      <w:r w:rsidR="00295C98">
        <w:t xml:space="preserve"> that were particular to their own </w:t>
      </w:r>
      <w:r w:rsidR="00295C98">
        <w:lastRenderedPageBreak/>
        <w:t xml:space="preserve">brand of confessionalism. For example, the Catholic Church often used processions as a means of drawing their adherents into a stronger relationship with the church. </w:t>
      </w:r>
      <w:r w:rsidR="00295C98" w:rsidRPr="00295C98">
        <w:t>They were noisy and colorful affairs with priests ringing hand bells, the people singing the litany of the saints, carrying banners and the saint’s image, making occasional stops for refreshments, and visiting the boundary markers of the territory. However, these events also reminded the people that they were “clients” of the saint and that by “virtue” of living in the territory they were a part of the whole religious (as well as secular) community.</w:t>
      </w:r>
      <w:r w:rsidR="00295C98" w:rsidRPr="00295C98">
        <w:rPr>
          <w:vertAlign w:val="superscript"/>
        </w:rPr>
        <w:footnoteReference w:id="122"/>
      </w:r>
    </w:p>
    <w:p w:rsidR="006F78FA" w:rsidRPr="00AF5FDE" w:rsidRDefault="006F78FA" w:rsidP="00AF5FDE">
      <w:pPr>
        <w:tabs>
          <w:tab w:val="left" w:pos="720"/>
        </w:tabs>
        <w:spacing w:line="480" w:lineRule="auto"/>
        <w:contextualSpacing/>
      </w:pPr>
      <w:r>
        <w:tab/>
      </w:r>
      <w:r w:rsidR="00065C07">
        <w:t>E</w:t>
      </w:r>
      <w:r>
        <w:t>qually important</w:t>
      </w:r>
      <w:r w:rsidR="00065C07">
        <w:t xml:space="preserve"> was</w:t>
      </w:r>
      <w:r>
        <w:t xml:space="preserve"> to protect your own adherents from the proselytizing of other confessions. </w:t>
      </w:r>
      <w:r w:rsidRPr="006F78FA">
        <w:t>Elites, the elderly, sick, and youth were all targets of proselytizing</w:t>
      </w:r>
      <w:r w:rsidRPr="006F78FA">
        <w:rPr>
          <w:vertAlign w:val="superscript"/>
        </w:rPr>
        <w:footnoteReference w:id="123"/>
      </w:r>
      <w:r w:rsidRPr="006F78FA">
        <w:t xml:space="preserve"> and therefore it was necessary to protect them from the efforts of the competition</w:t>
      </w:r>
      <w:r>
        <w:t>.</w:t>
      </w:r>
      <w:r w:rsidR="00B92D8E">
        <w:t xml:space="preserve"> As important as it was to indoctrinate people into the appropriate doctrines of their own confessional church, it was </w:t>
      </w:r>
      <w:r w:rsidR="00065C07">
        <w:t xml:space="preserve">also </w:t>
      </w:r>
      <w:r w:rsidR="00B92D8E">
        <w:t xml:space="preserve">important to instill in the adherents the belief that all other doctrines were not only wrong, but heretical and dangerous. </w:t>
      </w:r>
      <w:r w:rsidR="00B92D8E" w:rsidRPr="00B92D8E">
        <w:t xml:space="preserve">Censorship </w:t>
      </w:r>
      <w:r w:rsidR="00B60597">
        <w:t>is</w:t>
      </w:r>
      <w:r w:rsidR="00B92D8E" w:rsidRPr="00B92D8E">
        <w:t xml:space="preserve"> </w:t>
      </w:r>
      <w:r w:rsidR="00B92D8E">
        <w:t>one</w:t>
      </w:r>
      <w:r w:rsidR="00B60597">
        <w:t xml:space="preserve"> example of a</w:t>
      </w:r>
      <w:r w:rsidR="00B92D8E" w:rsidRPr="00B92D8E">
        <w:t xml:space="preserve"> practice</w:t>
      </w:r>
      <w:r w:rsidR="00B60597">
        <w:t xml:space="preserve"> common</w:t>
      </w:r>
      <w:r w:rsidR="00B92D8E" w:rsidRPr="00B92D8E">
        <w:t xml:space="preserve"> to all the confessions</w:t>
      </w:r>
      <w:r w:rsidR="00B92D8E">
        <w:t xml:space="preserve"> to</w:t>
      </w:r>
      <w:r w:rsidR="00B92D8E" w:rsidRPr="00B92D8E">
        <w:t xml:space="preserve"> keep out the “dangerous contamination” of competing confessions</w:t>
      </w:r>
      <w:r w:rsidR="00B92D8E">
        <w:t>.</w:t>
      </w:r>
      <w:r w:rsidR="00B92D8E" w:rsidRPr="00B92D8E">
        <w:rPr>
          <w:vertAlign w:val="superscript"/>
        </w:rPr>
        <w:footnoteReference w:id="124"/>
      </w:r>
      <w:r w:rsidR="00B92D8E" w:rsidRPr="00B92D8E">
        <w:tab/>
      </w:r>
    </w:p>
    <w:p w:rsidR="00FA564F" w:rsidRDefault="00FA564F" w:rsidP="00FA564F">
      <w:pPr>
        <w:tabs>
          <w:tab w:val="left" w:pos="720"/>
        </w:tabs>
        <w:spacing w:line="480" w:lineRule="auto"/>
        <w:contextualSpacing/>
      </w:pPr>
      <w:r w:rsidRPr="00F541C6">
        <w:tab/>
      </w:r>
      <w:r w:rsidR="006A225E">
        <w:t>T</w:t>
      </w:r>
      <w:r w:rsidRPr="00F541C6">
        <w:t xml:space="preserve">he important thing is not the form which </w:t>
      </w:r>
      <w:r w:rsidR="006A225E">
        <w:t>confessionalism</w:t>
      </w:r>
      <w:r w:rsidRPr="00F541C6">
        <w:t xml:space="preserve"> took</w:t>
      </w:r>
      <w:r w:rsidR="00382FAA">
        <w:t>. W</w:t>
      </w:r>
      <w:r w:rsidR="00A4349D">
        <w:t xml:space="preserve">hat is </w:t>
      </w:r>
      <w:r w:rsidRPr="00F541C6">
        <w:t>important is that these forms developed in the laity a strong sense of their confessional identity and the correct way to worship and serve God.</w:t>
      </w:r>
      <w:r>
        <w:t xml:space="preserve"> </w:t>
      </w:r>
      <w:r w:rsidR="001D530F">
        <w:t>A</w:t>
      </w:r>
      <w:r>
        <w:t>s the different confessions worked hard to confessionalize their members</w:t>
      </w:r>
      <w:r w:rsidR="00AB12A6">
        <w:t>,</w:t>
      </w:r>
      <w:r>
        <w:t xml:space="preserve"> they also created a view of opposing </w:t>
      </w:r>
      <w:r>
        <w:lastRenderedPageBreak/>
        <w:t>confessions as dangerous heres</w:t>
      </w:r>
      <w:r w:rsidR="00AB12A6">
        <w:t>ies</w:t>
      </w:r>
      <w:r>
        <w:t xml:space="preserve">. The </w:t>
      </w:r>
      <w:r w:rsidR="00DD063F">
        <w:t>B</w:t>
      </w:r>
      <w:r>
        <w:t xml:space="preserve">lack </w:t>
      </w:r>
      <w:r w:rsidR="00DD063F">
        <w:t>D</w:t>
      </w:r>
      <w:r>
        <w:t>eath, famines, and other natural disasters were often interpreted as judgements of God for sin in the camp. Prior to the Reformation, Jews and Muslims were often the target of the attempts to purge society of evil so that God would no longer be angry and the crops might grow. Confessionalism shifted the evil from outside groups to those who were your friends and neighbors within your own community. Those who were of differing confessions</w:t>
      </w:r>
      <w:r w:rsidR="00721F52">
        <w:t>, who refused to join in with the dominant group’s beliefs,</w:t>
      </w:r>
      <w:r>
        <w:t xml:space="preserve"> became the suspect group.</w:t>
      </w:r>
    </w:p>
    <w:p w:rsidR="003161BB" w:rsidRDefault="003161BB" w:rsidP="00FA564F">
      <w:pPr>
        <w:tabs>
          <w:tab w:val="left" w:pos="720"/>
        </w:tabs>
        <w:spacing w:line="480" w:lineRule="auto"/>
        <w:contextualSpacing/>
      </w:pPr>
    </w:p>
    <w:p w:rsidR="00FA564F" w:rsidRDefault="00FA564F" w:rsidP="00992831">
      <w:pPr>
        <w:tabs>
          <w:tab w:val="left" w:pos="720"/>
        </w:tabs>
        <w:spacing w:line="480" w:lineRule="auto"/>
        <w:contextualSpacing/>
        <w:jc w:val="center"/>
        <w:rPr>
          <w:b/>
          <w:u w:val="single"/>
        </w:rPr>
      </w:pPr>
      <w:r>
        <w:rPr>
          <w:b/>
          <w:u w:val="single"/>
        </w:rPr>
        <w:t>Religious Violence</w:t>
      </w:r>
    </w:p>
    <w:p w:rsidR="00FA564F" w:rsidRPr="00883DA9" w:rsidRDefault="00FA564F" w:rsidP="00FA564F">
      <w:pPr>
        <w:tabs>
          <w:tab w:val="left" w:pos="720"/>
        </w:tabs>
        <w:spacing w:line="480" w:lineRule="auto"/>
        <w:contextualSpacing/>
      </w:pPr>
    </w:p>
    <w:p w:rsidR="003161BB" w:rsidRPr="003161BB" w:rsidRDefault="003161BB" w:rsidP="003161BB">
      <w:pPr>
        <w:tabs>
          <w:tab w:val="left" w:pos="720"/>
        </w:tabs>
        <w:spacing w:line="480" w:lineRule="auto"/>
        <w:contextualSpacing/>
      </w:pPr>
      <w:r w:rsidRPr="003161BB">
        <w:tab/>
      </w:r>
      <w:r w:rsidR="00580638">
        <w:t xml:space="preserve">Men like </w:t>
      </w:r>
      <w:r w:rsidRPr="003161BB">
        <w:t xml:space="preserve">Thomas </w:t>
      </w:r>
      <w:bookmarkStart w:id="32" w:name="_Hlk512696868"/>
      <w:r w:rsidRPr="003161BB">
        <w:t>Müntzer</w:t>
      </w:r>
      <w:bookmarkEnd w:id="32"/>
      <w:r w:rsidRPr="003161BB">
        <w:t xml:space="preserve">, one of the principle figures in the Peasant’s war, used </w:t>
      </w:r>
      <w:r w:rsidR="001A07A2">
        <w:t>a radical</w:t>
      </w:r>
      <w:r w:rsidRPr="003161BB">
        <w:t xml:space="preserve"> message of apocalyptic fervor to gain support. This message of purification in the face of judgement is one of the key elements that drove religious violence. </w:t>
      </w:r>
      <w:r w:rsidR="00721F52">
        <w:t xml:space="preserve">Jesus was returning soon and we, the true believers, must get ready for him. This often meant violence against those suspected of heresy. </w:t>
      </w:r>
      <w:r w:rsidRPr="003161BB">
        <w:t xml:space="preserve">Müntzer, in his sermon to the princes, makes it clear that violence against those who </w:t>
      </w:r>
      <w:r w:rsidRPr="003161BB">
        <w:rPr>
          <w:i/>
        </w:rPr>
        <w:t>he</w:t>
      </w:r>
      <w:r w:rsidRPr="003161BB">
        <w:t xml:space="preserve"> considered heretics </w:t>
      </w:r>
      <w:r w:rsidR="000E6221">
        <w:t>wa</w:t>
      </w:r>
      <w:r w:rsidRPr="003161BB">
        <w:t>s the expected response. “The weeds must be plucked out of the vineyard of God in the time of harvest,” and “get them [the godless] out of the way . . . let not the evil-doers live longer who make us turn away from God” are the type of phrases that he used liberally throughout his sermon.</w:t>
      </w:r>
      <w:r w:rsidRPr="003161BB">
        <w:rPr>
          <w:vertAlign w:val="superscript"/>
        </w:rPr>
        <w:footnoteReference w:id="125"/>
      </w:r>
      <w:r w:rsidRPr="003161BB">
        <w:t xml:space="preserve"> Müntzer saw those of other confessions as godless. For example, he called Martin Luther the “whore of Babylon” and “the beast of the apocalypse” indicating where he believed </w:t>
      </w:r>
      <w:r w:rsidRPr="003161BB">
        <w:lastRenderedPageBreak/>
        <w:t>Luther and those who followed him stood as far as he and, in his estimation, God were concerned.</w:t>
      </w:r>
      <w:r w:rsidRPr="003161BB">
        <w:rPr>
          <w:vertAlign w:val="superscript"/>
        </w:rPr>
        <w:footnoteReference w:id="126"/>
      </w:r>
    </w:p>
    <w:p w:rsidR="00345D26" w:rsidRDefault="003161BB" w:rsidP="003161BB">
      <w:pPr>
        <w:tabs>
          <w:tab w:val="left" w:pos="720"/>
        </w:tabs>
        <w:spacing w:line="480" w:lineRule="auto"/>
        <w:contextualSpacing/>
      </w:pPr>
      <w:r w:rsidRPr="003161BB">
        <w:tab/>
        <w:t xml:space="preserve">The apocalyptic message preyed directly on people’s fears. Addressing both aspects of the peasant’s life it spoke to their eternal existence in the millennial reign of Christ, and to their secular existence here on earth through the idea that it was necessary to get those who were not orthodox out of the community so that the community could enjoy the blessings of God and hasten the return of Christ. The people who were engaged in religious violence, like Thomas Müntzer, truly believed that their confession was the correct one and what they were doing was saving souls from eternal damnation. Kaplan calls it “irreducible dogmatism—a belief that there </w:t>
      </w:r>
      <w:r w:rsidRPr="003161BB">
        <w:rPr>
          <w:i/>
        </w:rPr>
        <w:t>was</w:t>
      </w:r>
      <w:r w:rsidRPr="003161BB">
        <w:t xml:space="preserve"> something called truth, revealed to us by God and clearly identifiable, and that every other belief was plain wrong” (emphasis original).</w:t>
      </w:r>
      <w:r w:rsidRPr="003161BB">
        <w:rPr>
          <w:vertAlign w:val="superscript"/>
        </w:rPr>
        <w:footnoteReference w:id="127"/>
      </w:r>
      <w:r w:rsidRPr="003161BB">
        <w:t xml:space="preserve"> </w:t>
      </w:r>
    </w:p>
    <w:p w:rsidR="00FA564F" w:rsidRDefault="00FA564F" w:rsidP="00FA564F">
      <w:pPr>
        <w:tabs>
          <w:tab w:val="left" w:pos="720"/>
        </w:tabs>
        <w:spacing w:line="480" w:lineRule="auto"/>
        <w:contextualSpacing/>
      </w:pPr>
    </w:p>
    <w:p w:rsidR="00FA564F" w:rsidRDefault="00FA564F" w:rsidP="00992831">
      <w:pPr>
        <w:tabs>
          <w:tab w:val="left" w:pos="720"/>
        </w:tabs>
        <w:spacing w:line="480" w:lineRule="auto"/>
        <w:contextualSpacing/>
        <w:jc w:val="center"/>
      </w:pPr>
      <w:r w:rsidRPr="0099255E">
        <w:rPr>
          <w:b/>
          <w:u w:val="single"/>
        </w:rPr>
        <w:t xml:space="preserve">What </w:t>
      </w:r>
      <w:r w:rsidR="002D34F0" w:rsidRPr="0099255E">
        <w:rPr>
          <w:b/>
          <w:u w:val="single"/>
        </w:rPr>
        <w:t xml:space="preserve">Effect Did Confessionalism Have </w:t>
      </w:r>
      <w:r w:rsidR="00C23A5E">
        <w:rPr>
          <w:b/>
          <w:u w:val="single"/>
        </w:rPr>
        <w:t>o</w:t>
      </w:r>
      <w:r w:rsidR="002D34F0" w:rsidRPr="0099255E">
        <w:rPr>
          <w:b/>
          <w:u w:val="single"/>
        </w:rPr>
        <w:t>n</w:t>
      </w:r>
      <w:r w:rsidR="002D34F0">
        <w:rPr>
          <w:b/>
          <w:u w:val="single"/>
        </w:rPr>
        <w:t xml:space="preserve"> </w:t>
      </w:r>
      <w:r w:rsidR="002D34F0" w:rsidRPr="0099255E">
        <w:rPr>
          <w:b/>
          <w:u w:val="single"/>
        </w:rPr>
        <w:t xml:space="preserve">Church </w:t>
      </w:r>
      <w:r w:rsidR="00C23A5E">
        <w:rPr>
          <w:b/>
          <w:u w:val="single"/>
        </w:rPr>
        <w:t>a</w:t>
      </w:r>
      <w:r w:rsidR="002D34F0" w:rsidRPr="0099255E">
        <w:rPr>
          <w:b/>
          <w:u w:val="single"/>
        </w:rPr>
        <w:t>nd State</w:t>
      </w:r>
      <w:r w:rsidRPr="0099255E">
        <w:rPr>
          <w:b/>
          <w:u w:val="single"/>
        </w:rPr>
        <w:t>?</w:t>
      </w:r>
    </w:p>
    <w:p w:rsidR="00FA564F" w:rsidRPr="0099255E" w:rsidRDefault="00FA564F" w:rsidP="00FA564F">
      <w:pPr>
        <w:tabs>
          <w:tab w:val="left" w:pos="720"/>
        </w:tabs>
        <w:spacing w:line="480" w:lineRule="auto"/>
        <w:contextualSpacing/>
      </w:pPr>
    </w:p>
    <w:p w:rsidR="00FA564F" w:rsidRDefault="00FA564F" w:rsidP="00FA564F">
      <w:pPr>
        <w:tabs>
          <w:tab w:val="left" w:pos="720"/>
        </w:tabs>
        <w:spacing w:line="480" w:lineRule="auto"/>
        <w:contextualSpacing/>
      </w:pPr>
      <w:r w:rsidRPr="0099255E">
        <w:tab/>
      </w:r>
      <w:r>
        <w:t>With the church fractured into the various confessions</w:t>
      </w:r>
      <w:r w:rsidR="00AB12A6">
        <w:t>,</w:t>
      </w:r>
      <w:r>
        <w:t xml:space="preserve"> the state no</w:t>
      </w:r>
      <w:r w:rsidR="00A4349D">
        <w:t>t only could no</w:t>
      </w:r>
      <w:r>
        <w:t xml:space="preserve"> longer simply support the church as a partner in its endeavors to maintain a pure doctrine</w:t>
      </w:r>
      <w:r w:rsidR="00721F52">
        <w:t>,</w:t>
      </w:r>
      <w:r w:rsidR="00A4349D">
        <w:t xml:space="preserve"> but in some ways gained an advantage over the church</w:t>
      </w:r>
      <w:r>
        <w:t xml:space="preserve">. The growth of the competing confessional churches and the efforts to create a strong confessional identity among their adherents led to tensions between the various confessions whose people often lived and worked in close proximity. Rulers and magistrates were forced to choose between the </w:t>
      </w:r>
      <w:r>
        <w:lastRenderedPageBreak/>
        <w:t xml:space="preserve">different confessions to maintain stability within their territories. </w:t>
      </w:r>
      <w:r w:rsidRPr="00CB57A9">
        <w:t>Th</w:t>
      </w:r>
      <w:r>
        <w:t>ose who</w:t>
      </w:r>
      <w:r w:rsidRPr="00CB57A9">
        <w:t xml:space="preserve"> governed in the early modern period were </w:t>
      </w:r>
      <w:r w:rsidR="00521B67">
        <w:t xml:space="preserve">often </w:t>
      </w:r>
      <w:r w:rsidRPr="00CB57A9">
        <w:t>true</w:t>
      </w:r>
      <w:r w:rsidR="00A4349D">
        <w:t xml:space="preserve"> </w:t>
      </w:r>
      <w:r w:rsidRPr="00CB57A9">
        <w:t xml:space="preserve">believers in the confessions that they dictated to be </w:t>
      </w:r>
      <w:r>
        <w:t>orthodox</w:t>
      </w:r>
      <w:r w:rsidRPr="00CB57A9">
        <w:t xml:space="preserve"> within their territories. </w:t>
      </w:r>
      <w:r w:rsidR="00A4349D">
        <w:t>However, j</w:t>
      </w:r>
      <w:r w:rsidRPr="00CB57A9">
        <w:t>ust as the various confessional churches needed the power of the state to protect them, so too the rulers needed the support of the confessional churches in establishing their authority to rule and keeping their territories relatively stable and strong.</w:t>
      </w:r>
    </w:p>
    <w:p w:rsidR="00FA564F" w:rsidRDefault="00FA564F" w:rsidP="00FA564F">
      <w:pPr>
        <w:tabs>
          <w:tab w:val="left" w:pos="720"/>
        </w:tabs>
        <w:spacing w:line="480" w:lineRule="auto"/>
        <w:contextualSpacing/>
      </w:pPr>
      <w:r>
        <w:tab/>
        <w:t>Due in part to increasing confessional violence, several religious wars, and various political machinations</w:t>
      </w:r>
      <w:r w:rsidR="00F46F21">
        <w:t>,</w:t>
      </w:r>
      <w:r>
        <w:t xml:space="preserve"> in 1555 the estates</w:t>
      </w:r>
      <w:r w:rsidR="00F46F21">
        <w:t xml:space="preserve"> and</w:t>
      </w:r>
      <w:r>
        <w:t xml:space="preserve"> the emperor’s representative met at the Diet of Augsburg. This is where Lutheranism became a legal confession within the Holy Roman Empire and where </w:t>
      </w:r>
      <w:r>
        <w:rPr>
          <w:i/>
        </w:rPr>
        <w:t>c</w:t>
      </w:r>
      <w:r w:rsidRPr="00361A9B">
        <w:rPr>
          <w:i/>
        </w:rPr>
        <w:t>uius regio, euis religio</w:t>
      </w:r>
      <w:r>
        <w:t>, the precept that the princes would decide for their territories which confession was acceptable, was established;</w:t>
      </w:r>
      <w:r>
        <w:rPr>
          <w:rStyle w:val="FootnoteReference"/>
        </w:rPr>
        <w:footnoteReference w:id="128"/>
      </w:r>
      <w:r>
        <w:t xml:space="preserve"> however, regardless of which confession they chose the outcome was often violence between the confessional churches.</w:t>
      </w:r>
    </w:p>
    <w:p w:rsidR="00FA564F" w:rsidRDefault="00FA564F" w:rsidP="00FA564F">
      <w:pPr>
        <w:tabs>
          <w:tab w:val="left" w:pos="720"/>
        </w:tabs>
        <w:spacing w:line="480" w:lineRule="auto"/>
        <w:contextualSpacing/>
      </w:pPr>
      <w:r>
        <w:tab/>
        <w:t>When the “fate of entire communities . . . depended on divine favor,”</w:t>
      </w:r>
      <w:r>
        <w:rPr>
          <w:rStyle w:val="FootnoteReference"/>
        </w:rPr>
        <w:footnoteReference w:id="129"/>
      </w:r>
      <w:r>
        <w:t xml:space="preserve"> and those of other confessions were portrayed as heretics through confessionalism, violence became almost imperative to protect the sanctity of the community from those who would bring condemnation on it. Violence was used to either convert the offender and bring them into line with what was considered orthodoxy or drive them from the community, but the princip</w:t>
      </w:r>
      <w:r w:rsidR="00AB12A6">
        <w:t>al</w:t>
      </w:r>
      <w:r>
        <w:t xml:space="preserve"> purpose was to protect the laity of the confession from contamination by the opposing doctrine. This kept the purity of the community and </w:t>
      </w:r>
      <w:r>
        <w:lastRenderedPageBreak/>
        <w:t xml:space="preserve">maintained God’s blessing.  Benjamin Kaplan notes, heresy was “a species of sin—a particularly heinous one—and as such threatened the </w:t>
      </w:r>
      <w:r>
        <w:rPr>
          <w:i/>
        </w:rPr>
        <w:t>Heil</w:t>
      </w:r>
      <w:r>
        <w:rPr>
          <w:rStyle w:val="FootnoteReference"/>
          <w:i/>
        </w:rPr>
        <w:footnoteReference w:id="130"/>
      </w:r>
      <w:r>
        <w:rPr>
          <w:i/>
        </w:rPr>
        <w:t xml:space="preserve"> </w:t>
      </w:r>
      <w:r>
        <w:t>of entire communities.”</w:t>
      </w:r>
      <w:r>
        <w:rPr>
          <w:rStyle w:val="FootnoteReference"/>
        </w:rPr>
        <w:footnoteReference w:id="131"/>
      </w:r>
      <w:r>
        <w:t xml:space="preserve"> </w:t>
      </w:r>
    </w:p>
    <w:p w:rsidR="00135F1C" w:rsidRDefault="00135F1C" w:rsidP="00FA564F">
      <w:pPr>
        <w:tabs>
          <w:tab w:val="left" w:pos="720"/>
        </w:tabs>
        <w:spacing w:line="480" w:lineRule="auto"/>
        <w:contextualSpacing/>
      </w:pPr>
    </w:p>
    <w:p w:rsidR="00135F1C" w:rsidRDefault="00135F1C" w:rsidP="00992831">
      <w:pPr>
        <w:tabs>
          <w:tab w:val="left" w:pos="720"/>
        </w:tabs>
        <w:spacing w:line="480" w:lineRule="auto"/>
        <w:contextualSpacing/>
        <w:jc w:val="center"/>
      </w:pPr>
      <w:r>
        <w:rPr>
          <w:b/>
          <w:u w:val="single"/>
        </w:rPr>
        <w:t xml:space="preserve">The </w:t>
      </w:r>
      <w:r w:rsidR="00F4184E">
        <w:rPr>
          <w:b/>
          <w:u w:val="single"/>
        </w:rPr>
        <w:t>S</w:t>
      </w:r>
      <w:r>
        <w:rPr>
          <w:b/>
          <w:u w:val="single"/>
        </w:rPr>
        <w:t>tate of the State</w:t>
      </w:r>
    </w:p>
    <w:p w:rsidR="00135F1C" w:rsidRDefault="00135F1C" w:rsidP="00FA564F">
      <w:pPr>
        <w:tabs>
          <w:tab w:val="left" w:pos="720"/>
        </w:tabs>
        <w:spacing w:line="480" w:lineRule="auto"/>
        <w:contextualSpacing/>
      </w:pPr>
    </w:p>
    <w:p w:rsidR="00857FB6" w:rsidRDefault="00135F1C" w:rsidP="00FA564F">
      <w:pPr>
        <w:tabs>
          <w:tab w:val="left" w:pos="720"/>
        </w:tabs>
        <w:spacing w:line="480" w:lineRule="auto"/>
        <w:contextualSpacing/>
      </w:pPr>
      <w:r>
        <w:tab/>
        <w:t>In the early modern period</w:t>
      </w:r>
      <w:r w:rsidR="00AB12A6">
        <w:t>,</w:t>
      </w:r>
      <w:r>
        <w:t xml:space="preserve"> the nation-state, as we know it, did not exist. </w:t>
      </w:r>
      <w:r w:rsidR="002F7074">
        <w:t>Hsia indicates that the Hapsburg em</w:t>
      </w:r>
      <w:r w:rsidR="00B83D5C">
        <w:t>perors “did not preside over a unitary state,” but had to contend with “provinces inhabited by peoples of diverse tongues and religious beliefs.”</w:t>
      </w:r>
      <w:r w:rsidR="00B83D5C">
        <w:rPr>
          <w:rStyle w:val="FootnoteReference"/>
        </w:rPr>
        <w:footnoteReference w:id="132"/>
      </w:r>
      <w:r w:rsidR="00B83D5C">
        <w:t xml:space="preserve"> </w:t>
      </w:r>
      <w:r w:rsidR="00132BD2">
        <w:t xml:space="preserve">The area of </w:t>
      </w:r>
      <w:r w:rsidR="00302873">
        <w:t>Europe that today we call Germany was then part of the Holy Roman Empire that, as Gabrielle Haug-Moritz explains</w:t>
      </w:r>
      <w:r w:rsidR="008F4ECF">
        <w:t>,</w:t>
      </w:r>
      <w:r w:rsidR="00302873">
        <w:t xml:space="preserve"> became </w:t>
      </w:r>
      <w:r w:rsidR="008F4ECF">
        <w:t xml:space="preserve">known as </w:t>
      </w:r>
      <w:r w:rsidR="00302873">
        <w:t>the “Holy Roman Empire of the German Nation”  in the late 1400s, not from any “common ethnic consciousness” but because the term was often used by bishops in referring to the “complaints of the German Nation.”</w:t>
      </w:r>
      <w:r w:rsidR="00302873">
        <w:rPr>
          <w:rStyle w:val="FootnoteReference"/>
        </w:rPr>
        <w:footnoteReference w:id="133"/>
      </w:r>
      <w:r w:rsidR="00DA21DB">
        <w:t xml:space="preserve"> Haug-Moritz indicates that from the 1470s on there was dissatisfaction over the Popes and the Emperor’s </w:t>
      </w:r>
      <w:r w:rsidR="00D95864">
        <w:t>burdensome financial</w:t>
      </w:r>
      <w:r w:rsidR="00DA21DB">
        <w:t xml:space="preserve"> demands upon the princes </w:t>
      </w:r>
      <w:r w:rsidR="00D95864">
        <w:t xml:space="preserve"> </w:t>
      </w:r>
      <w:r w:rsidR="00DA21DB">
        <w:t>and the magistrates.</w:t>
      </w:r>
      <w:r w:rsidR="00DA21DB">
        <w:rPr>
          <w:rStyle w:val="FootnoteReference"/>
        </w:rPr>
        <w:footnoteReference w:id="134"/>
      </w:r>
    </w:p>
    <w:p w:rsidR="008F4ECF" w:rsidRDefault="008F4ECF" w:rsidP="00FA564F">
      <w:pPr>
        <w:tabs>
          <w:tab w:val="left" w:pos="720"/>
        </w:tabs>
        <w:spacing w:line="480" w:lineRule="auto"/>
        <w:contextualSpacing/>
      </w:pPr>
      <w:r>
        <w:tab/>
        <w:t xml:space="preserve">In the early sixteenth century, this area was ruled by electors, known as princes, who were responsible for electing the next Emperor of the Holy Roman Empire. There was much political maneuvering occurring between the princes and the emperor, not the least of which was over finances, taxes and tithes. The emergence of competing </w:t>
      </w:r>
      <w:r>
        <w:lastRenderedPageBreak/>
        <w:t xml:space="preserve">confessional churches put a political weapon in the hands of the German princes. </w:t>
      </w:r>
      <w:r w:rsidR="000D561A">
        <w:t xml:space="preserve">Reinhard suggests that the movement became “Reformation” in the 1520’s only after the Peasant </w:t>
      </w:r>
      <w:r w:rsidR="006944A2">
        <w:t>W</w:t>
      </w:r>
      <w:r w:rsidR="000D561A">
        <w:t>ar</w:t>
      </w:r>
      <w:r>
        <w:t xml:space="preserve"> </w:t>
      </w:r>
      <w:r w:rsidR="000D561A">
        <w:t>when the princes took over and it became “a process of religious change organized by conservative authorities in their legal terms.”</w:t>
      </w:r>
      <w:r w:rsidR="000D561A">
        <w:rPr>
          <w:rStyle w:val="FootnoteReference"/>
        </w:rPr>
        <w:footnoteReference w:id="135"/>
      </w:r>
      <w:r w:rsidR="00C14500">
        <w:t xml:space="preserve"> </w:t>
      </w:r>
      <w:r w:rsidR="00573DC2">
        <w:t>Reinhard explains how this happened:</w:t>
      </w:r>
    </w:p>
    <w:p w:rsidR="00A87F43" w:rsidRPr="00135F1C" w:rsidRDefault="00573DC2" w:rsidP="00A87F43">
      <w:pPr>
        <w:tabs>
          <w:tab w:val="left" w:pos="720"/>
        </w:tabs>
        <w:spacing w:line="240" w:lineRule="auto"/>
        <w:ind w:left="720"/>
        <w:contextualSpacing/>
      </w:pPr>
      <w:r w:rsidRPr="00573DC2">
        <w:t>Under the pressure of mutual competition, the religious groups had no choice but to establish themselves as "churches," i.e., stable organizations with well</w:t>
      </w:r>
      <w:r>
        <w:t>-</w:t>
      </w:r>
      <w:r w:rsidRPr="00573DC2">
        <w:t>defined membership. These new "churches" had to be more rigid than the old pre-Reformation Church, where membership was self-evident and required no careful preservation. Particular confessions of faith served to distinguish these separate religious communities from each other</w:t>
      </w:r>
      <w:r>
        <w:t xml:space="preserve"> . . . </w:t>
      </w:r>
      <w:r w:rsidRPr="00573DC2">
        <w:t>"Church" and "State" collaborated everywhere to cut autonomous parts out of the body of one single Christian community</w:t>
      </w:r>
      <w:r>
        <w:t xml:space="preserve"> . . . </w:t>
      </w:r>
      <w:r w:rsidRPr="00573DC2">
        <w:t>by establishing a particular group conformity of religious doctrine and practice among their members.</w:t>
      </w:r>
      <w:r w:rsidR="002A5C1B">
        <w:rPr>
          <w:rStyle w:val="FootnoteReference"/>
        </w:rPr>
        <w:footnoteReference w:id="136"/>
      </w:r>
    </w:p>
    <w:p w:rsidR="00DD6856" w:rsidRDefault="00DD6856" w:rsidP="00FA564F">
      <w:pPr>
        <w:tabs>
          <w:tab w:val="left" w:pos="720"/>
        </w:tabs>
        <w:spacing w:line="480" w:lineRule="auto"/>
        <w:contextualSpacing/>
      </w:pPr>
    </w:p>
    <w:p w:rsidR="00857FB6" w:rsidRDefault="00A87F43" w:rsidP="00FA564F">
      <w:pPr>
        <w:tabs>
          <w:tab w:val="left" w:pos="720"/>
        </w:tabs>
        <w:spacing w:line="480" w:lineRule="auto"/>
        <w:contextualSpacing/>
      </w:pPr>
      <w:r>
        <w:t>In order to maintain their control, the churches needed a system of both education and social discipline; however, as the churches often lacked institutional structure to address those issues they, as Reinhard notes, “had to rely to a lesser or greater extent on the support of secular powers.”</w:t>
      </w:r>
      <w:r>
        <w:rPr>
          <w:rStyle w:val="FootnoteReference"/>
        </w:rPr>
        <w:footnoteReference w:id="137"/>
      </w:r>
      <w:r>
        <w:t xml:space="preserve"> </w:t>
      </w:r>
      <w:r w:rsidR="0004474E">
        <w:t xml:space="preserve">A help, he notes, </w:t>
      </w:r>
      <w:r w:rsidR="002A5C1B">
        <w:t xml:space="preserve">that </w:t>
      </w:r>
      <w:r w:rsidR="0004474E">
        <w:t xml:space="preserve">was offered willingly, but </w:t>
      </w:r>
      <w:r w:rsidR="006944A2">
        <w:t xml:space="preserve">was </w:t>
      </w:r>
      <w:r w:rsidR="0004474E">
        <w:t xml:space="preserve">not </w:t>
      </w:r>
      <w:r w:rsidR="00D95864">
        <w:t xml:space="preserve">by any means </w:t>
      </w:r>
      <w:r w:rsidR="0004474E">
        <w:t>free.</w:t>
      </w:r>
      <w:r w:rsidR="0004474E">
        <w:rPr>
          <w:rStyle w:val="FootnoteReference"/>
        </w:rPr>
        <w:footnoteReference w:id="138"/>
      </w:r>
      <w:r w:rsidR="0004474E">
        <w:t xml:space="preserve">  He sees the advantage for the rulers on three terms. First, enforcement of political identity, next, extension of a monopoly of power, and last, disciplining of their subjects.</w:t>
      </w:r>
      <w:r w:rsidR="0004474E">
        <w:rPr>
          <w:rStyle w:val="FootnoteReference"/>
        </w:rPr>
        <w:footnoteReference w:id="139"/>
      </w:r>
      <w:r w:rsidR="0004474E">
        <w:t xml:space="preserve"> When religious identity became also political identity, the rulers </w:t>
      </w:r>
      <w:r w:rsidR="0004474E">
        <w:lastRenderedPageBreak/>
        <w:t>benefited from the churche</w:t>
      </w:r>
      <w:r w:rsidR="00AB12A6">
        <w:t>’</w:t>
      </w:r>
      <w:r w:rsidR="0004474E">
        <w:t>s “traditional claim of total commitment.”</w:t>
      </w:r>
      <w:r w:rsidR="0004474E">
        <w:rPr>
          <w:rStyle w:val="FootnoteReference"/>
        </w:rPr>
        <w:footnoteReference w:id="140"/>
      </w:r>
      <w:r w:rsidR="0004474E">
        <w:t xml:space="preserve"> Political identity was enforced “by a thorough “Confessionalization” of the subjects</w:t>
      </w:r>
      <w:r w:rsidR="00D95864">
        <w:t>,</w:t>
      </w:r>
      <w:r w:rsidR="0004474E">
        <w:t>”</w:t>
      </w:r>
      <w:r w:rsidR="002A5C1B">
        <w:rPr>
          <w:rStyle w:val="FootnoteReference"/>
        </w:rPr>
        <w:footnoteReference w:id="141"/>
      </w:r>
      <w:r w:rsidR="002A5C1B">
        <w:t xml:space="preserve"> </w:t>
      </w:r>
      <w:r w:rsidR="00D95864">
        <w:t>because, s</w:t>
      </w:r>
      <w:r w:rsidR="002A5C1B">
        <w:t>tates that were tolerant of multiple confessions did not enjoy this benefit and</w:t>
      </w:r>
      <w:r w:rsidR="00340CAB">
        <w:t xml:space="preserve"> </w:t>
      </w:r>
      <w:r w:rsidR="002A5C1B">
        <w:t>were “powerless.”</w:t>
      </w:r>
      <w:r w:rsidR="002A5C1B">
        <w:rPr>
          <w:rStyle w:val="FootnoteReference"/>
        </w:rPr>
        <w:footnoteReference w:id="142"/>
      </w:r>
      <w:r w:rsidR="002A5C1B">
        <w:t xml:space="preserve"> </w:t>
      </w:r>
      <w:r w:rsidR="00C30C33">
        <w:t>The church</w:t>
      </w:r>
      <w:r w:rsidR="00340CAB">
        <w:t xml:space="preserve"> </w:t>
      </w:r>
      <w:r w:rsidR="0035150A">
        <w:t xml:space="preserve">became part of the </w:t>
      </w:r>
      <w:r w:rsidR="006944A2">
        <w:t>s</w:t>
      </w:r>
      <w:r w:rsidR="0035150A">
        <w:t>tate both in theory and practice.</w:t>
      </w:r>
      <w:r w:rsidR="0035150A">
        <w:rPr>
          <w:rStyle w:val="FootnoteReference"/>
        </w:rPr>
        <w:footnoteReference w:id="143"/>
      </w:r>
      <w:r w:rsidR="0035150A">
        <w:t xml:space="preserve"> </w:t>
      </w:r>
    </w:p>
    <w:p w:rsidR="00994DF3" w:rsidRDefault="00857FB6" w:rsidP="00FA564F">
      <w:pPr>
        <w:tabs>
          <w:tab w:val="left" w:pos="720"/>
        </w:tabs>
        <w:spacing w:line="480" w:lineRule="auto"/>
        <w:contextualSpacing/>
      </w:pPr>
      <w:r>
        <w:tab/>
      </w:r>
      <w:r w:rsidR="00EE2083">
        <w:t xml:space="preserve">Without question Reinhard suggests that the electors of the German estates were able to use the Reformation to expand their political power; however, attempting to force mono-confessionalism </w:t>
      </w:r>
      <w:r w:rsidR="00161A43">
        <w:t xml:space="preserve">on a territory could very well be a </w:t>
      </w:r>
      <w:r>
        <w:t>two-edged</w:t>
      </w:r>
      <w:r w:rsidR="00161A43">
        <w:t xml:space="preserve"> sword. </w:t>
      </w:r>
      <w:r w:rsidR="00AB12A6">
        <w:t>Although</w:t>
      </w:r>
      <w:r w:rsidR="00161A43">
        <w:t xml:space="preserve"> a ruler’s territory was much more powerful if he w</w:t>
      </w:r>
      <w:r w:rsidR="00AB12A6">
        <w:t>ere</w:t>
      </w:r>
      <w:r w:rsidR="00161A43">
        <w:t xml:space="preserve"> able to achieve the point of having only one confession, attempts to do so often received a violent reaction on the part of the non-dominant confession which could have serious repercussions for the </w:t>
      </w:r>
      <w:r w:rsidR="006944A2">
        <w:t>s</w:t>
      </w:r>
      <w:r w:rsidR="00161A43">
        <w:t xml:space="preserve">tate. </w:t>
      </w:r>
    </w:p>
    <w:p w:rsidR="00857FB6" w:rsidRPr="00340CAB" w:rsidRDefault="00771EE5" w:rsidP="00FA564F">
      <w:pPr>
        <w:tabs>
          <w:tab w:val="left" w:pos="720"/>
        </w:tabs>
        <w:spacing w:line="480" w:lineRule="auto"/>
        <w:contextualSpacing/>
      </w:pPr>
      <w:r>
        <w:tab/>
        <w:t>The development of separate confessional churches created religious factionalism. The two, and sometimes more, opposing confessions, each believing the other to be trying to impose their agenda on the whole, often driven by radical agendas, resorted to factional violence to protect their own position where God was concerned. This was the paradigm that Madison recognized through authors like Hume, who used religious factionalism as template for the entire discussion on faction, and Locke</w:t>
      </w:r>
      <w:r w:rsidR="00ED2754">
        <w:t>, who frames his argument around the fact that one man was not given authority over another to tell him how he should worship God. This was especially true in regards to civil magistrates not intruding on religious convictions.</w:t>
      </w:r>
      <w:r w:rsidR="00D501B5">
        <w:t xml:space="preserve"> Madison recognized the examples of religious factionalism, factional violence, and the </w:t>
      </w:r>
      <w:r w:rsidR="006944A2">
        <w:t>sometimes-negative</w:t>
      </w:r>
      <w:r w:rsidR="007B5534">
        <w:t xml:space="preserve"> outcomes that were the </w:t>
      </w:r>
      <w:r w:rsidR="007B5534">
        <w:lastRenderedPageBreak/>
        <w:t>result when the state took sides in these factional disputes</w:t>
      </w:r>
      <w:r w:rsidR="00D501B5">
        <w:t xml:space="preserve">. </w:t>
      </w:r>
      <w:r w:rsidR="00161A43">
        <w:t xml:space="preserve">Below are two examples of the of confessional conflict and the effect it had on the </w:t>
      </w:r>
      <w:r w:rsidR="007B5534">
        <w:t>s</w:t>
      </w:r>
      <w:r w:rsidR="00161A43">
        <w:t>tate involved.</w:t>
      </w:r>
    </w:p>
    <w:p w:rsidR="00857FB6" w:rsidRDefault="00857FB6" w:rsidP="00FA564F">
      <w:pPr>
        <w:tabs>
          <w:tab w:val="left" w:pos="720"/>
        </w:tabs>
        <w:spacing w:line="480" w:lineRule="auto"/>
        <w:contextualSpacing/>
        <w:rPr>
          <w:b/>
          <w:u w:val="single"/>
        </w:rPr>
      </w:pPr>
    </w:p>
    <w:p w:rsidR="00DD6856" w:rsidRDefault="00DD6856" w:rsidP="00992831">
      <w:pPr>
        <w:tabs>
          <w:tab w:val="left" w:pos="720"/>
        </w:tabs>
        <w:spacing w:line="480" w:lineRule="auto"/>
        <w:contextualSpacing/>
        <w:jc w:val="center"/>
        <w:rPr>
          <w:b/>
          <w:u w:val="single"/>
        </w:rPr>
      </w:pPr>
      <w:r>
        <w:rPr>
          <w:b/>
          <w:u w:val="single"/>
        </w:rPr>
        <w:t>Two Examples</w:t>
      </w:r>
    </w:p>
    <w:p w:rsidR="00135F1C" w:rsidRDefault="00135F1C" w:rsidP="00FA564F">
      <w:pPr>
        <w:tabs>
          <w:tab w:val="left" w:pos="720"/>
        </w:tabs>
        <w:spacing w:line="480" w:lineRule="auto"/>
        <w:contextualSpacing/>
      </w:pPr>
    </w:p>
    <w:p w:rsidR="00135F1C" w:rsidRPr="00135F1C" w:rsidRDefault="00135F1C" w:rsidP="00135F1C">
      <w:pPr>
        <w:tabs>
          <w:tab w:val="left" w:pos="720"/>
        </w:tabs>
        <w:spacing w:line="480" w:lineRule="auto"/>
        <w:contextualSpacing/>
      </w:pPr>
      <w:r w:rsidRPr="00135F1C">
        <w:tab/>
        <w:t xml:space="preserve">One of the effects of the changing nature of the church and state relationship, as previously stated, was that the usage of violence moved from a principally state oriented business to a commodity that was available to each confessional group. There are many instances of how this violence was used, but there are two good examples that will indicate the changing nature of state involvement. The first is the Saint Bartholomew’s Day massacre in which Parisian Catholics violently attacked Protestants and did so, if not with direct state approval, at least with tacit state approval. The other example is from </w:t>
      </w:r>
      <w:bookmarkStart w:id="35" w:name="_Hlk514492020"/>
      <w:r w:rsidRPr="00135F1C">
        <w:t>Donauwörth</w:t>
      </w:r>
      <w:bookmarkEnd w:id="35"/>
      <w:r w:rsidRPr="00135F1C">
        <w:t xml:space="preserve"> where Protestants attacked Catholics and, in the process lost their standing as the dominant confession. This had long term effects on the Holy Roman Empire.</w:t>
      </w:r>
    </w:p>
    <w:p w:rsidR="00FA564F" w:rsidRDefault="00FA564F" w:rsidP="00FA564F">
      <w:pPr>
        <w:tabs>
          <w:tab w:val="left" w:pos="720"/>
        </w:tabs>
        <w:spacing w:line="480" w:lineRule="auto"/>
        <w:contextualSpacing/>
      </w:pPr>
      <w:r>
        <w:tab/>
        <w:t xml:space="preserve">In 1572 Paris was not exactly a safe place for </w:t>
      </w:r>
      <w:bookmarkStart w:id="36" w:name="_Hlk514337558"/>
      <w:r>
        <w:t>Huguenots</w:t>
      </w:r>
      <w:bookmarkEnd w:id="36"/>
      <w:r>
        <w:t>. Tensions were high</w:t>
      </w:r>
      <w:r w:rsidR="00AB12A6">
        <w:t>,</w:t>
      </w:r>
      <w:r>
        <w:t xml:space="preserve"> and </w:t>
      </w:r>
      <w:r w:rsidR="00994DF3">
        <w:t>the</w:t>
      </w:r>
      <w:r>
        <w:t xml:space="preserve"> Huguenots </w:t>
      </w:r>
      <w:r w:rsidR="00994DF3">
        <w:t>experienced violence as an almost</w:t>
      </w:r>
      <w:r>
        <w:t xml:space="preserve"> daily </w:t>
      </w:r>
      <w:r w:rsidR="00994DF3">
        <w:t>occurrence.</w:t>
      </w:r>
      <w:r>
        <w:rPr>
          <w:rStyle w:val="FootnoteReference"/>
        </w:rPr>
        <w:footnoteReference w:id="144"/>
      </w:r>
      <w:r>
        <w:t xml:space="preserve"> Paris was </w:t>
      </w:r>
      <w:r w:rsidR="00994DF3">
        <w:t xml:space="preserve">extremely </w:t>
      </w:r>
      <w:r>
        <w:t>Catholic</w:t>
      </w:r>
      <w:r w:rsidR="00994DF3">
        <w:t>,</w:t>
      </w:r>
      <w:r>
        <w:rPr>
          <w:rStyle w:val="FootnoteReference"/>
        </w:rPr>
        <w:footnoteReference w:id="145"/>
      </w:r>
      <w:r>
        <w:t xml:space="preserve"> and after three previous religious civil wars and a number of incidents within Paris,</w:t>
      </w:r>
      <w:r>
        <w:rPr>
          <w:rStyle w:val="FootnoteReference"/>
        </w:rPr>
        <w:footnoteReference w:id="146"/>
      </w:r>
      <w:r>
        <w:t xml:space="preserve"> </w:t>
      </w:r>
      <w:r w:rsidR="00AB12A6">
        <w:t>it</w:t>
      </w:r>
      <w:r>
        <w:t xml:space="preserve"> was a tinderbox waiting to explode. Even the Parisian police were duplicitous, taking part in the “pillage of Protestant properties.”</w:t>
      </w:r>
      <w:r>
        <w:rPr>
          <w:rStyle w:val="FootnoteReference"/>
        </w:rPr>
        <w:footnoteReference w:id="147"/>
      </w:r>
      <w:r>
        <w:t xml:space="preserve"> The situation was made worse by </w:t>
      </w:r>
      <w:r>
        <w:lastRenderedPageBreak/>
        <w:t xml:space="preserve">the Catholic priests who </w:t>
      </w:r>
      <w:r w:rsidR="00994DF3">
        <w:t>preached sermons of intolerance against</w:t>
      </w:r>
      <w:r>
        <w:t xml:space="preserve"> the Huguenots, </w:t>
      </w:r>
      <w:r w:rsidR="00994DF3">
        <w:t>urging</w:t>
      </w:r>
      <w:r>
        <w:t xml:space="preserve"> their parishioners to defend</w:t>
      </w:r>
      <w:r w:rsidR="00994DF3">
        <w:t>, violently if necessary,</w:t>
      </w:r>
      <w:r>
        <w:t xml:space="preserve"> their churches from heretics</w:t>
      </w:r>
      <w:r w:rsidR="00994DF3">
        <w:t>.</w:t>
      </w:r>
      <w:r>
        <w:rPr>
          <w:rStyle w:val="FootnoteReference"/>
        </w:rPr>
        <w:footnoteReference w:id="148"/>
      </w:r>
    </w:p>
    <w:p w:rsidR="00FA564F" w:rsidRDefault="00FA564F" w:rsidP="00FA564F">
      <w:pPr>
        <w:tabs>
          <w:tab w:val="left" w:pos="720"/>
        </w:tabs>
        <w:spacing w:line="480" w:lineRule="auto"/>
        <w:contextualSpacing/>
      </w:pPr>
      <w:r>
        <w:tab/>
        <w:t>It was in this atmosphere that Catherine de Medici, mother of then king Charles IX, in an ill-conceived attempt to calm religious tensions</w:t>
      </w:r>
      <w:r w:rsidR="003765A0">
        <w:t>,</w:t>
      </w:r>
      <w:r>
        <w:t xml:space="preserve"> arranged a marriage of her Catholic daughter Marguerite to the Huguenot leader Henri de Navarre. In mid-August nobles from both the Catholics and Huguenots assembled in Paris to attend the nuptials. Among them were the Duc d</w:t>
      </w:r>
      <w:r w:rsidR="00EA6CE0">
        <w:t>e</w:t>
      </w:r>
      <w:r>
        <w:t xml:space="preserve"> Guise, Francois who had only recently returned from a massacre of Huguenots at Vassy</w:t>
      </w:r>
      <w:r>
        <w:rPr>
          <w:rStyle w:val="FootnoteReference"/>
        </w:rPr>
        <w:footnoteReference w:id="149"/>
      </w:r>
      <w:r>
        <w:t xml:space="preserve"> and Gaspard de Coligny, the head of the Huguenot armies and the man who supposedly was responsible for the assassination of de Guise’s father.</w:t>
      </w:r>
      <w:r>
        <w:rPr>
          <w:rStyle w:val="FootnoteReference"/>
        </w:rPr>
        <w:footnoteReference w:id="150"/>
      </w:r>
      <w:r>
        <w:t xml:space="preserve"> On August 22, after several days of festivities, Coligny was “shot as he was walking back to his residence from the Louvre.”</w:t>
      </w:r>
      <w:r>
        <w:rPr>
          <w:rStyle w:val="FootnoteReference"/>
        </w:rPr>
        <w:footnoteReference w:id="151"/>
      </w:r>
      <w:r>
        <w:t xml:space="preserve"> Coligny lived, but Parisian Catholics, fearful of an uprising and angered over rumors of Huguenot demands for retribution, took to the streets and murdered and tortured several thousand Huguenots. Coligny was the first victim as de Guise went to his residence and “murdered him in cold blood.”</w:t>
      </w:r>
      <w:r>
        <w:rPr>
          <w:rStyle w:val="FootnoteReference"/>
        </w:rPr>
        <w:footnoteReference w:id="152"/>
      </w:r>
    </w:p>
    <w:p w:rsidR="00EA6CE0" w:rsidRDefault="00FA564F" w:rsidP="00FA564F">
      <w:pPr>
        <w:tabs>
          <w:tab w:val="left" w:pos="720"/>
        </w:tabs>
        <w:spacing w:line="480" w:lineRule="auto"/>
        <w:contextualSpacing/>
      </w:pPr>
      <w:r>
        <w:tab/>
        <w:t>Giovanni Michiel, the Venetian ambassador to France in 1572, gives a report of that night. It was “wild and terrifying,” he says, as neighbors “cold-bloodedly” committed outrage against their neighbors and sometimes even their relatives.</w:t>
      </w:r>
      <w:r>
        <w:rPr>
          <w:rStyle w:val="FootnoteReference"/>
        </w:rPr>
        <w:footnoteReference w:id="153"/>
      </w:r>
      <w:r>
        <w:t xml:space="preserve"> Pleas for mercy fell on deaf ears as Catholics showed no feeling for and had no mercy on anyone. Just the insinuation that one was a Huguenot brought immediate death. Michiel sets the </w:t>
      </w:r>
      <w:r>
        <w:lastRenderedPageBreak/>
        <w:t>death toll as high as 4,000 people. According to him, the killing and torture went on for three days, spreading to the provinces and that the city rulers were unable to stop it. Many prominent Huguenots were killed, even those from the gentry.</w:t>
      </w:r>
      <w:r>
        <w:rPr>
          <w:rStyle w:val="FootnoteReference"/>
        </w:rPr>
        <w:footnoteReference w:id="154"/>
      </w:r>
      <w:r w:rsidR="00EA6CE0">
        <w:t xml:space="preserve"> </w:t>
      </w:r>
      <w:r w:rsidR="00340CAB">
        <w:t>T</w:t>
      </w:r>
      <w:r>
        <w:t>he French people claim that “the king ordered it.”</w:t>
      </w:r>
      <w:r>
        <w:rPr>
          <w:rStyle w:val="FootnoteReference"/>
        </w:rPr>
        <w:footnoteReference w:id="155"/>
      </w:r>
      <w:r>
        <w:t xml:space="preserve"> Barbara Diefendorf, maintains that the rumor of royal involvement is unsubstantiated, and the truth may never be known,</w:t>
      </w:r>
      <w:r>
        <w:rPr>
          <w:rStyle w:val="FootnoteReference"/>
        </w:rPr>
        <w:footnoteReference w:id="156"/>
      </w:r>
      <w:r>
        <w:t xml:space="preserve"> </w:t>
      </w:r>
      <w:r w:rsidR="00340CAB">
        <w:t xml:space="preserve">but </w:t>
      </w:r>
      <w:r>
        <w:t>it is evident that the French Catholics believed that Charles IX had issued the order and they were carrying out the wishes of the state in committing violence against members of another confession.</w:t>
      </w:r>
    </w:p>
    <w:p w:rsidR="00FA564F" w:rsidRDefault="00EA6CE0" w:rsidP="00FA564F">
      <w:pPr>
        <w:tabs>
          <w:tab w:val="left" w:pos="720"/>
        </w:tabs>
        <w:spacing w:line="480" w:lineRule="auto"/>
        <w:contextualSpacing/>
      </w:pPr>
      <w:r>
        <w:tab/>
      </w:r>
      <w:r w:rsidR="00FA564F" w:rsidRPr="00FF3399">
        <w:t>Donauwörth</w:t>
      </w:r>
      <w:r w:rsidR="00FA564F">
        <w:t xml:space="preserve"> exhibits a slightly different cause of violence. Here, in 1603, the community was predominantly Lutheran with a minority of Catholics. Catholics “enjoyed protection under imperial law,” and decided to press for their privileges. In being consistent with their confessional identity, the monks of the Holy Cross Abbey made a yearly pilgrimage to a shrine in a neighboring village. Prior to 1603 they left </w:t>
      </w:r>
      <w:r w:rsidR="00FA564F" w:rsidRPr="00092248">
        <w:t xml:space="preserve">Donauwörth </w:t>
      </w:r>
      <w:r w:rsidR="00FA564F">
        <w:t>quietly by the back alleys and waited to unfurl their banners and engage in celebratory commotion until they were out of the city. But in 1603 they decided that they would no longer keep to the back alleys and be silent. They planned to go by the main routes with banners unfurled and make their presence known.</w:t>
      </w:r>
      <w:r w:rsidR="00FA564F">
        <w:rPr>
          <w:rStyle w:val="FootnoteReference"/>
        </w:rPr>
        <w:footnoteReference w:id="157"/>
      </w:r>
      <w:r w:rsidR="00FA564F">
        <w:t xml:space="preserve"> </w:t>
      </w:r>
    </w:p>
    <w:p w:rsidR="00FA564F" w:rsidRDefault="00FA564F" w:rsidP="00FA564F">
      <w:pPr>
        <w:tabs>
          <w:tab w:val="left" w:pos="720"/>
        </w:tabs>
        <w:spacing w:line="480" w:lineRule="auto"/>
        <w:contextualSpacing/>
      </w:pPr>
      <w:r>
        <w:tab/>
        <w:t xml:space="preserve">The city’s Protestant magistrates refused to allow them to do so, and they appealed to the supreme courts of the Holy Roman Empire. Emperor Rudolf II </w:t>
      </w:r>
      <w:r w:rsidR="00EA6CE0">
        <w:t xml:space="preserve">sided with the Catholics, </w:t>
      </w:r>
      <w:r>
        <w:t xml:space="preserve">ordering the magistrates not to </w:t>
      </w:r>
      <w:r w:rsidR="00EA6CE0">
        <w:t>prevent</w:t>
      </w:r>
      <w:r>
        <w:t xml:space="preserve"> the Catholics</w:t>
      </w:r>
      <w:r w:rsidR="00EA6CE0">
        <w:t xml:space="preserve"> from exiting the city </w:t>
      </w:r>
      <w:r w:rsidR="00EA6CE0">
        <w:lastRenderedPageBreak/>
        <w:t>by the main routes.</w:t>
      </w:r>
      <w:r>
        <w:rPr>
          <w:rStyle w:val="FootnoteReference"/>
        </w:rPr>
        <w:footnoteReference w:id="158"/>
      </w:r>
      <w:r>
        <w:t xml:space="preserve"> Thus, in 1606 the Catholics left the city in full regalia, banners flying and the customary litanies being chanted through the main arteries of </w:t>
      </w:r>
      <w:r w:rsidRPr="005D55CB">
        <w:t>Donauwörth</w:t>
      </w:r>
      <w:r>
        <w:t>.  They made it out of the city without incident except occasional heckling, but on the return trip, as they entered the city gate, they were attacked, their crosses smashed, their banners ripped, and they themselves “pelted . . .  with stones and garbage.”</w:t>
      </w:r>
      <w:r>
        <w:rPr>
          <w:rStyle w:val="FootnoteReference"/>
        </w:rPr>
        <w:footnoteReference w:id="159"/>
      </w:r>
      <w:r>
        <w:t xml:space="preserve"> </w:t>
      </w:r>
    </w:p>
    <w:p w:rsidR="00FA564F" w:rsidRDefault="00FA564F" w:rsidP="00FA564F">
      <w:pPr>
        <w:tabs>
          <w:tab w:val="left" w:pos="720"/>
        </w:tabs>
        <w:spacing w:line="480" w:lineRule="auto"/>
        <w:contextualSpacing/>
      </w:pPr>
      <w:r>
        <w:tab/>
        <w:t>The following year</w:t>
      </w:r>
      <w:r w:rsidR="00340CAB">
        <w:t xml:space="preserve"> </w:t>
      </w:r>
      <w:r>
        <w:t>Catholics were surrounded by crowds of angry Lutherans who were determined to stop the procession. As a result, Maximilian</w:t>
      </w:r>
      <w:r w:rsidR="00340CAB">
        <w:t>,</w:t>
      </w:r>
      <w:r>
        <w:t xml:space="preserve"> an enforcer</w:t>
      </w:r>
      <w:r w:rsidR="00340CAB">
        <w:t>,</w:t>
      </w:r>
      <w:r>
        <w:t xml:space="preserve"> occupied the city and “taking advantage of the situation, he re-Catholicized the city at sword-point, forcing the Lutherans to convert or leave.”</w:t>
      </w:r>
      <w:r>
        <w:rPr>
          <w:rStyle w:val="FootnoteReference"/>
        </w:rPr>
        <w:footnoteReference w:id="160"/>
      </w:r>
    </w:p>
    <w:p w:rsidR="00FA564F" w:rsidRDefault="00FA564F" w:rsidP="00FA564F">
      <w:pPr>
        <w:tabs>
          <w:tab w:val="left" w:pos="720"/>
        </w:tabs>
        <w:spacing w:line="480" w:lineRule="auto"/>
        <w:contextualSpacing/>
      </w:pPr>
      <w:r>
        <w:tab/>
        <w:t xml:space="preserve">This situation in </w:t>
      </w:r>
      <w:bookmarkStart w:id="38" w:name="_Hlk514498972"/>
      <w:r w:rsidRPr="00A66273">
        <w:t>Donauwörth</w:t>
      </w:r>
      <w:bookmarkEnd w:id="38"/>
      <w:r>
        <w:t xml:space="preserve"> set in motion of a series of events that found their culmination in Bohemia, where in 1617 Ferdinand II, the newly crowned king, was determined to re</w:t>
      </w:r>
      <w:r w:rsidR="00EA6CE0">
        <w:t>-c</w:t>
      </w:r>
      <w:r>
        <w:t>atholici</w:t>
      </w:r>
      <w:r w:rsidR="00EA6CE0">
        <w:t>ze</w:t>
      </w:r>
      <w:r>
        <w:t xml:space="preserve"> the empire.</w:t>
      </w:r>
      <w:r w:rsidRPr="008A56A0">
        <w:t xml:space="preserve"> H</w:t>
      </w:r>
      <w:r w:rsidR="00EA6CE0">
        <w:t>is first step was</w:t>
      </w:r>
      <w:r w:rsidRPr="008A56A0">
        <w:t xml:space="preserve"> to limit Protestant worship.</w:t>
      </w:r>
      <w:r>
        <w:rPr>
          <w:rStyle w:val="FootnoteReference"/>
        </w:rPr>
        <w:footnoteReference w:id="161"/>
      </w:r>
      <w:r>
        <w:t xml:space="preserve"> Protestants, fearing a militant Counter-Reformation, such as was seen in </w:t>
      </w:r>
      <w:r w:rsidRPr="004676B7">
        <w:t>Donauwörth</w:t>
      </w:r>
      <w:r>
        <w:t>, “challenged his right to rule,” threw his representatives out of the window at the castle in Prague, and elected the Calvinist Fredrick V</w:t>
      </w:r>
      <w:r w:rsidR="00EA6CE0">
        <w:t xml:space="preserve"> to be their king</w:t>
      </w:r>
      <w:r>
        <w:t>.</w:t>
      </w:r>
      <w:r>
        <w:rPr>
          <w:rStyle w:val="FootnoteReference"/>
        </w:rPr>
        <w:footnoteReference w:id="162"/>
      </w:r>
      <w:r>
        <w:t xml:space="preserve">  Their victory was short lived, however, as two years later Ferdinand was elected as Holy Roman Emperor and invaded with his army. Fredrick, along with </w:t>
      </w:r>
      <w:r w:rsidR="007260B8">
        <w:t>most of the</w:t>
      </w:r>
      <w:r>
        <w:t xml:space="preserve"> Bohemian nobles were forced to flee into exile, </w:t>
      </w:r>
      <w:r w:rsidR="007260B8">
        <w:t>abandoning</w:t>
      </w:r>
      <w:r>
        <w:t xml:space="preserve"> their lands </w:t>
      </w:r>
      <w:r w:rsidR="007260B8">
        <w:t>as they did</w:t>
      </w:r>
      <w:r>
        <w:t>.</w:t>
      </w:r>
      <w:r>
        <w:rPr>
          <w:rStyle w:val="FootnoteReference"/>
        </w:rPr>
        <w:footnoteReference w:id="163"/>
      </w:r>
      <w:r>
        <w:t xml:space="preserve"> Historians generally accept that the </w:t>
      </w:r>
      <w:r>
        <w:lastRenderedPageBreak/>
        <w:t>war in Bohemia was the beginning of the Thirty-Year War which was a disaster for Europe and cost nearly eight million lives, almost eight percent of the population.</w:t>
      </w:r>
      <w:r>
        <w:rPr>
          <w:rStyle w:val="FootnoteReference"/>
        </w:rPr>
        <w:footnoteReference w:id="164"/>
      </w:r>
    </w:p>
    <w:p w:rsidR="00FA564F" w:rsidRDefault="00FA564F" w:rsidP="00FA564F">
      <w:pPr>
        <w:tabs>
          <w:tab w:val="left" w:pos="720"/>
        </w:tabs>
        <w:spacing w:line="480" w:lineRule="auto"/>
        <w:contextualSpacing/>
      </w:pPr>
      <w:r>
        <w:tab/>
        <w:t xml:space="preserve">Both of these situations indicate the changed nature of state involvement with the church. In the former situation, the state sided with the dominant confession in trying to purge Paris of those who the dominant church considered heretics. Their decision to do so set off a bloodbath that shocked most of Europe and was the event that triggered the fourth in what was a series of eight religious wars. France was a Catholic nation, but her refusal to recognize her non-dominant confession led to eight specific conflagrations between the dominant Catholicism and the non-dominant Huguenots. </w:t>
      </w:r>
      <w:r w:rsidR="00F9710A">
        <w:t>P</w:t>
      </w:r>
      <w:r>
        <w:t>rior to the wars of religion</w:t>
      </w:r>
      <w:r w:rsidR="00D64834">
        <w:t>,</w:t>
      </w:r>
      <w:r>
        <w:t xml:space="preserve"> France was one of the strongest kingdoms in Europe</w:t>
      </w:r>
      <w:r w:rsidR="00D64834">
        <w:t>;</w:t>
      </w:r>
      <w:r w:rsidR="00F9710A">
        <w:t xml:space="preserve"> however,</w:t>
      </w:r>
      <w:r>
        <w:t xml:space="preserve"> by the end of the eighth war</w:t>
      </w:r>
      <w:r w:rsidR="00D64834">
        <w:t>,</w:t>
      </w:r>
      <w:r>
        <w:t xml:space="preserve"> she was </w:t>
      </w:r>
      <w:r w:rsidR="00F9710A">
        <w:t xml:space="preserve">one of the </w:t>
      </w:r>
      <w:r>
        <w:t>weakest.</w:t>
      </w:r>
      <w:r>
        <w:rPr>
          <w:rStyle w:val="FootnoteReference"/>
        </w:rPr>
        <w:footnoteReference w:id="165"/>
      </w:r>
    </w:p>
    <w:p w:rsidR="00FA564F" w:rsidRDefault="00FA564F" w:rsidP="00FA564F">
      <w:pPr>
        <w:tabs>
          <w:tab w:val="left" w:pos="720"/>
        </w:tabs>
        <w:spacing w:line="480" w:lineRule="auto"/>
        <w:contextualSpacing/>
      </w:pPr>
      <w:r>
        <w:tab/>
        <w:t xml:space="preserve">In the situation in </w:t>
      </w:r>
      <w:r w:rsidRPr="006E5333">
        <w:t>Donauwörth</w:t>
      </w:r>
      <w:r>
        <w:t xml:space="preserve">, the state chose to side with the non-dominant Catholics. In the short term this was a successful undertaking from a Catholic point of view. The </w:t>
      </w:r>
      <w:r w:rsidRPr="00883FD6">
        <w:t>re-</w:t>
      </w:r>
      <w:r w:rsidR="007260B8">
        <w:t>c</w:t>
      </w:r>
      <w:r w:rsidRPr="00883FD6">
        <w:t>atholiciz</w:t>
      </w:r>
      <w:r>
        <w:t>ation</w:t>
      </w:r>
      <w:r w:rsidRPr="00883FD6">
        <w:t xml:space="preserve"> </w:t>
      </w:r>
      <w:r>
        <w:t xml:space="preserve">of </w:t>
      </w:r>
      <w:r w:rsidRPr="00883FD6">
        <w:t>Donauwörth</w:t>
      </w:r>
      <w:r>
        <w:t xml:space="preserve"> meant religious freedom for the monks of the Holy Cross Abbey</w:t>
      </w:r>
      <w:r w:rsidR="00D64834">
        <w:t>,</w:t>
      </w:r>
      <w:r>
        <w:t xml:space="preserve"> and the Protestants became the non-dominant confession. However, the actions of the state in this case led to the de-stabilization of the Bohemian estate, the overthrow of a Catholic ruler and an eventually the Thirty-year war that subsumed most of Europe for three decades and cost millions of lives.  </w:t>
      </w:r>
    </w:p>
    <w:p w:rsidR="0088440A" w:rsidRDefault="0088440A" w:rsidP="00FA564F">
      <w:pPr>
        <w:tabs>
          <w:tab w:val="left" w:pos="720"/>
        </w:tabs>
        <w:spacing w:line="480" w:lineRule="auto"/>
        <w:contextualSpacing/>
      </w:pPr>
    </w:p>
    <w:p w:rsidR="0088440A" w:rsidRDefault="0088440A" w:rsidP="00FA564F">
      <w:pPr>
        <w:tabs>
          <w:tab w:val="left" w:pos="720"/>
        </w:tabs>
        <w:spacing w:line="480" w:lineRule="auto"/>
        <w:contextualSpacing/>
      </w:pPr>
    </w:p>
    <w:p w:rsidR="00FA564F" w:rsidRDefault="00FA564F" w:rsidP="00FA564F">
      <w:pPr>
        <w:tabs>
          <w:tab w:val="left" w:pos="720"/>
        </w:tabs>
        <w:spacing w:line="480" w:lineRule="auto"/>
        <w:contextualSpacing/>
        <w:rPr>
          <w:b/>
          <w:u w:val="single"/>
        </w:rPr>
      </w:pPr>
    </w:p>
    <w:p w:rsidR="00FA564F" w:rsidRDefault="00FA564F" w:rsidP="00992831">
      <w:pPr>
        <w:tabs>
          <w:tab w:val="left" w:pos="720"/>
        </w:tabs>
        <w:spacing w:line="480" w:lineRule="auto"/>
        <w:contextualSpacing/>
        <w:jc w:val="center"/>
        <w:rPr>
          <w:b/>
          <w:u w:val="single"/>
        </w:rPr>
      </w:pPr>
      <w:r>
        <w:rPr>
          <w:b/>
          <w:u w:val="single"/>
        </w:rPr>
        <w:lastRenderedPageBreak/>
        <w:t>What Conclusions Can Be Drawn from this?</w:t>
      </w:r>
    </w:p>
    <w:p w:rsidR="00FA564F" w:rsidRDefault="00FA564F" w:rsidP="00FA564F">
      <w:pPr>
        <w:tabs>
          <w:tab w:val="left" w:pos="720"/>
        </w:tabs>
        <w:spacing w:line="480" w:lineRule="auto"/>
        <w:contextualSpacing/>
      </w:pPr>
    </w:p>
    <w:p w:rsidR="00FA564F" w:rsidRDefault="00FA564F" w:rsidP="00FA564F">
      <w:pPr>
        <w:tabs>
          <w:tab w:val="left" w:pos="720"/>
        </w:tabs>
        <w:spacing w:line="480" w:lineRule="auto"/>
        <w:contextualSpacing/>
      </w:pPr>
      <w:r>
        <w:tab/>
        <w:t>Prior to the Reformation there was only one church</w:t>
      </w:r>
      <w:r w:rsidR="00D64834">
        <w:t>,</w:t>
      </w:r>
      <w:r>
        <w:t xml:space="preserve"> and the state was often in full partnership with the church in keeping out strange doctrines. The people had no reason to be concerned about their eternity because membership in the church was automatic. When disaster struck the community, it was believed to originate from outside religious influence and often attributed to the presence of Jews, Muslims, or infidels. When the church divided into two </w:t>
      </w:r>
      <w:r w:rsidR="006F4BC5">
        <w:t>or</w:t>
      </w:r>
      <w:r>
        <w:t xml:space="preserve"> more unique confessions it raised questions concerning both their current temporal security and their eternity, forcing them to decide which confession they believed was the right one to take care of them both in this life and in the next.</w:t>
      </w:r>
    </w:p>
    <w:p w:rsidR="00FA564F" w:rsidRDefault="00FA564F" w:rsidP="00FA564F">
      <w:pPr>
        <w:tabs>
          <w:tab w:val="left" w:pos="720"/>
        </w:tabs>
        <w:spacing w:line="480" w:lineRule="auto"/>
        <w:contextualSpacing/>
      </w:pPr>
      <w:r>
        <w:tab/>
        <w:t>The rulers too needed to make decisions as to which they believed, and in the aftermath of wars like the Peasant’s War, with the establishment of the Peace of Augsburg, they also had to decide for their estates which confession was the right one. Often, in bi-confessional areas, when one confession felt that they were being backed into a corner and might lose the ability to worship God in the form that they believed was correct, or when the opposing confession was being openly aggressive about practicing their form of Christianity</w:t>
      </w:r>
      <w:r w:rsidR="00DD6856">
        <w:t>, or heresy</w:t>
      </w:r>
      <w:r w:rsidR="00C35967">
        <w:t xml:space="preserve"> depending on the point of view</w:t>
      </w:r>
      <w:r w:rsidR="00DD6856">
        <w:t>,</w:t>
      </w:r>
      <w:r>
        <w:t xml:space="preserve"> in defiance of the other confession, tensions mounted and violence was the end result.</w:t>
      </w:r>
    </w:p>
    <w:p w:rsidR="00FA564F" w:rsidRDefault="00FA564F" w:rsidP="00FA564F">
      <w:pPr>
        <w:tabs>
          <w:tab w:val="left" w:pos="720"/>
        </w:tabs>
        <w:spacing w:line="480" w:lineRule="auto"/>
        <w:contextualSpacing/>
      </w:pPr>
      <w:r>
        <w:tab/>
        <w:t xml:space="preserve">In an attempt to rein in the violence, the early modern rulers decided that the rulers and magistrates would choose for the estate, city, or whatever form the geo-political area took, which confession was the acceptable one, however, in many cases, this also engendered fear on the part of the non-dominant confession and the violence turned against the state and its representatives as well as those of the opposing </w:t>
      </w:r>
      <w:r>
        <w:lastRenderedPageBreak/>
        <w:t>confession. This, in the long run de-stabilized the governments and more t</w:t>
      </w:r>
      <w:r w:rsidR="003D696A">
        <w:t>han</w:t>
      </w:r>
      <w:r>
        <w:t xml:space="preserve"> one ruler left his territory in fear for his life.</w:t>
      </w:r>
    </w:p>
    <w:p w:rsidR="00FA564F" w:rsidRDefault="00FA564F" w:rsidP="00FA564F">
      <w:pPr>
        <w:tabs>
          <w:tab w:val="left" w:pos="720"/>
        </w:tabs>
        <w:spacing w:line="480" w:lineRule="auto"/>
        <w:contextualSpacing/>
        <w:sectPr w:rsidR="00FA564F" w:rsidSect="00AC21EF">
          <w:footnotePr>
            <w:numRestart w:val="eachSect"/>
          </w:footnotePr>
          <w:pgSz w:w="12240" w:h="15840"/>
          <w:pgMar w:top="1440" w:right="1440" w:bottom="1440" w:left="2160" w:header="720" w:footer="720" w:gutter="0"/>
          <w:cols w:space="720"/>
          <w:docGrid w:linePitch="360"/>
        </w:sectPr>
      </w:pPr>
      <w:r>
        <w:tab/>
      </w:r>
      <w:r w:rsidR="00FF48A1">
        <w:t>T</w:t>
      </w:r>
      <w:r>
        <w:t xml:space="preserve">he development of multiple confessional churches </w:t>
      </w:r>
      <w:r w:rsidR="00DD6856">
        <w:t xml:space="preserve">and subsequent state </w:t>
      </w:r>
      <w:r w:rsidR="00F132F5">
        <w:t xml:space="preserve">control of doctrine </w:t>
      </w:r>
      <w:r>
        <w:t>led to a place</w:t>
      </w:r>
      <w:r w:rsidR="00FF48A1">
        <w:t>, not only where men</w:t>
      </w:r>
      <w:r w:rsidR="00560376">
        <w:t xml:space="preserve"> were being persecuted and</w:t>
      </w:r>
      <w:r w:rsidR="00FF48A1">
        <w:t xml:space="preserve"> had no liberty to choose in what manner they would serve God, but also to a place</w:t>
      </w:r>
      <w:r>
        <w:t xml:space="preserve"> where governments were in danger of being toppled</w:t>
      </w:r>
      <w:r w:rsidR="00FF48A1">
        <w:t xml:space="preserve">. </w:t>
      </w:r>
      <w:r>
        <w:t>Despite the fact that, as Reinhard says, single confessional territories were by far the stronger territory,</w:t>
      </w:r>
      <w:r>
        <w:rPr>
          <w:rStyle w:val="FootnoteReference"/>
        </w:rPr>
        <w:footnoteReference w:id="166"/>
      </w:r>
      <w:r>
        <w:t xml:space="preserve"> the attempts to force a single confession on the people in a given territory, in the long run, </w:t>
      </w:r>
      <w:r w:rsidR="00C41915">
        <w:t xml:space="preserve">often </w:t>
      </w:r>
      <w:r>
        <w:t>weakened</w:t>
      </w:r>
      <w:r w:rsidRPr="00EA5A03">
        <w:t xml:space="preserve"> </w:t>
      </w:r>
      <w:r>
        <w:t xml:space="preserve">and ultimately </w:t>
      </w:r>
      <w:r w:rsidRPr="00EA5A03">
        <w:t>de-stabilized</w:t>
      </w:r>
      <w:r>
        <w:t xml:space="preserve"> the government of that territory and sometimes caused the ruler to be ousted from his kingdom.</w:t>
      </w:r>
      <w:r w:rsidR="00C35967">
        <w:t xml:space="preserve"> James Madison clearly recognized this aspect of the reformation as indicated through his assessment of the Reformation in his Memorial and Remonstrance and as such is part of the context that makes up Madison’s understanding of the issues of church and state.</w:t>
      </w:r>
      <w:r>
        <w:t xml:space="preserve"> </w:t>
      </w:r>
      <w:r w:rsidR="00C35967">
        <w:t xml:space="preserve">  </w:t>
      </w:r>
    </w:p>
    <w:p w:rsidR="00FA564F" w:rsidRPr="00FA564F" w:rsidRDefault="00FA564F" w:rsidP="00FA564F">
      <w:pPr>
        <w:tabs>
          <w:tab w:val="left" w:pos="720"/>
        </w:tabs>
        <w:spacing w:line="480" w:lineRule="auto"/>
        <w:contextualSpacing/>
      </w:pPr>
    </w:p>
    <w:p w:rsidR="00303CB5" w:rsidRDefault="00303CB5" w:rsidP="001D1114">
      <w:pPr>
        <w:tabs>
          <w:tab w:val="left" w:pos="720"/>
        </w:tabs>
        <w:spacing w:line="480" w:lineRule="auto"/>
        <w:contextualSpacing/>
        <w:jc w:val="center"/>
        <w:rPr>
          <w:b/>
          <w:u w:val="single"/>
        </w:rPr>
      </w:pPr>
      <w:r>
        <w:rPr>
          <w:b/>
          <w:u w:val="single"/>
        </w:rPr>
        <w:t>CHAPTER I</w:t>
      </w:r>
      <w:r w:rsidR="00CF3430">
        <w:rPr>
          <w:b/>
          <w:u w:val="single"/>
        </w:rPr>
        <w:t>V</w:t>
      </w:r>
    </w:p>
    <w:p w:rsidR="004D4587" w:rsidRDefault="004D4587" w:rsidP="001D1114">
      <w:pPr>
        <w:tabs>
          <w:tab w:val="left" w:pos="720"/>
        </w:tabs>
        <w:spacing w:line="480" w:lineRule="auto"/>
        <w:contextualSpacing/>
        <w:jc w:val="center"/>
        <w:rPr>
          <w:b/>
          <w:u w:val="single"/>
        </w:rPr>
      </w:pPr>
      <w:r w:rsidRPr="004D4587">
        <w:rPr>
          <w:b/>
          <w:u w:val="single"/>
        </w:rPr>
        <w:t>JUSTICE BLACK AND THE EVERSON DECISION</w:t>
      </w:r>
    </w:p>
    <w:p w:rsidR="0011346C" w:rsidRPr="00A00CAA" w:rsidRDefault="0011346C" w:rsidP="0011346C">
      <w:pPr>
        <w:tabs>
          <w:tab w:val="left" w:pos="720"/>
        </w:tabs>
        <w:spacing w:line="480" w:lineRule="auto"/>
        <w:contextualSpacing/>
      </w:pPr>
    </w:p>
    <w:p w:rsidR="00333943" w:rsidRDefault="0011346C" w:rsidP="001D1114">
      <w:pPr>
        <w:tabs>
          <w:tab w:val="left" w:pos="720"/>
        </w:tabs>
        <w:spacing w:line="480" w:lineRule="auto"/>
        <w:contextualSpacing/>
      </w:pPr>
      <w:r>
        <w:tab/>
        <w:t xml:space="preserve">There are a number of questions that must be asked of any legislation if it is to remain consistent with the cultural context that gave birth to the Establishment Clause. First, and foremost, </w:t>
      </w:r>
      <w:r w:rsidR="00E54994" w:rsidRPr="00E54994">
        <w:t xml:space="preserve">does the legislation </w:t>
      </w:r>
      <w:r w:rsidR="008E2258">
        <w:t>prescribe</w:t>
      </w:r>
      <w:r w:rsidR="00E54994" w:rsidRPr="00E54994">
        <w:t xml:space="preserve"> religious orthodoxy</w:t>
      </w:r>
      <w:r w:rsidR="00E54994">
        <w:t xml:space="preserve"> and</w:t>
      </w:r>
      <w:r w:rsidR="00E54994" w:rsidRPr="00E54994">
        <w:t xml:space="preserve"> </w:t>
      </w:r>
      <w:r>
        <w:t>prevent any individual from worshiping their God in the form that they believe is</w:t>
      </w:r>
      <w:r w:rsidR="003A5D46">
        <w:t xml:space="preserve"> </w:t>
      </w:r>
      <w:r>
        <w:t xml:space="preserve">correct? Next, does the legislation place any one religion, or sect of religion, over another, providing them with </w:t>
      </w:r>
      <w:bookmarkStart w:id="39" w:name="_Hlk525745749"/>
      <w:r w:rsidR="00E54994" w:rsidRPr="00E54994">
        <w:t>emoluments</w:t>
      </w:r>
      <w:bookmarkEnd w:id="39"/>
      <w:r>
        <w:t xml:space="preserve"> and </w:t>
      </w:r>
      <w:r w:rsidR="00E54994">
        <w:t>privileges</w:t>
      </w:r>
      <w:r>
        <w:t xml:space="preserve"> that other religions </w:t>
      </w:r>
      <w:r w:rsidR="00560376">
        <w:t>and</w:t>
      </w:r>
      <w:r>
        <w:t xml:space="preserve"> sects do not enjoy</w:t>
      </w:r>
      <w:r w:rsidR="00997D93">
        <w:softHyphen/>
      </w:r>
      <w:r w:rsidR="00997D93">
        <w:softHyphen/>
      </w:r>
      <w:r w:rsidR="00E54994">
        <w:t xml:space="preserve"> and in so doing, give rise to factionalism and potential religious violence? And third, does the legislation force any person to pay taxes </w:t>
      </w:r>
      <w:r w:rsidR="00E64677">
        <w:t>supporting</w:t>
      </w:r>
      <w:r w:rsidR="00C77CB4">
        <w:t xml:space="preserve">, or </w:t>
      </w:r>
      <w:r w:rsidR="00E54994">
        <w:t xml:space="preserve">promoting one sect or religion in opposition to </w:t>
      </w:r>
      <w:r w:rsidR="003A5D46">
        <w:t xml:space="preserve">a </w:t>
      </w:r>
      <w:r w:rsidR="00E54994">
        <w:t>person’s beliefs?</w:t>
      </w:r>
      <w:r w:rsidR="008E2258">
        <w:t xml:space="preserve"> These are the questions that I will lay alongside both Justice Black’s </w:t>
      </w:r>
      <w:r w:rsidR="00C77CB4">
        <w:t xml:space="preserve">majority </w:t>
      </w:r>
      <w:r w:rsidR="008E2258">
        <w:t>opinion</w:t>
      </w:r>
      <w:r w:rsidR="00DF45C6">
        <w:t>,</w:t>
      </w:r>
      <w:r w:rsidR="008E2258">
        <w:t xml:space="preserve"> </w:t>
      </w:r>
      <w:r w:rsidR="00E24262">
        <w:t xml:space="preserve">which frames the </w:t>
      </w:r>
      <w:r w:rsidR="00604AD8">
        <w:t>discussion</w:t>
      </w:r>
      <w:r w:rsidR="00E24262">
        <w:t xml:space="preserve"> around religious persecution, </w:t>
      </w:r>
      <w:r w:rsidR="008E2258">
        <w:t xml:space="preserve">and </w:t>
      </w:r>
      <w:r w:rsidR="00EC1E03">
        <w:t>Justice Rutledge’s</w:t>
      </w:r>
      <w:r w:rsidR="008E2258">
        <w:t xml:space="preserve"> dissent</w:t>
      </w:r>
      <w:r w:rsidR="00C77CB4">
        <w:t>ing</w:t>
      </w:r>
      <w:r w:rsidR="008E2258">
        <w:t xml:space="preserve"> opinion</w:t>
      </w:r>
      <w:r w:rsidR="005B5267">
        <w:t xml:space="preserve">, which focuses on taxation and the repression of free exercise, </w:t>
      </w:r>
      <w:r w:rsidR="002620C8">
        <w:t xml:space="preserve">to determine where they fit </w:t>
      </w:r>
      <w:r w:rsidR="00560376">
        <w:t>in relationship to Madison’s concerns about the root causes of religious factionalism.</w:t>
      </w:r>
    </w:p>
    <w:p w:rsidR="00042398" w:rsidRPr="00042398" w:rsidRDefault="00042398" w:rsidP="00042398">
      <w:pPr>
        <w:tabs>
          <w:tab w:val="left" w:pos="720"/>
        </w:tabs>
        <w:spacing w:line="480" w:lineRule="auto"/>
        <w:contextualSpacing/>
      </w:pPr>
      <w:r w:rsidRPr="00042398">
        <w:tab/>
      </w:r>
      <w:r w:rsidRPr="00042398">
        <w:rPr>
          <w:i/>
        </w:rPr>
        <w:t>Everson v. Board of Education</w:t>
      </w:r>
      <w:r w:rsidRPr="00042398">
        <w:t xml:space="preserve"> (1947) bears importance as the first case which incorporated the Establishment Clause to the states through the Fourteenth Amendment.</w:t>
      </w:r>
      <w:r w:rsidRPr="00042398">
        <w:rPr>
          <w:vertAlign w:val="superscript"/>
        </w:rPr>
        <w:footnoteReference w:id="167"/>
      </w:r>
      <w:r w:rsidRPr="00042398">
        <w:t xml:space="preserve"> It has been heavily cited by subsequent Supreme Court cases and has become a veritable fixture in discourses concerning  church and state in regards to constitutional analysis.”</w:t>
      </w:r>
      <w:r w:rsidRPr="00042398">
        <w:rPr>
          <w:vertAlign w:val="superscript"/>
        </w:rPr>
        <w:footnoteReference w:id="168"/>
      </w:r>
      <w:r w:rsidRPr="00042398">
        <w:t xml:space="preserve"> </w:t>
      </w:r>
      <w:r w:rsidRPr="00042398">
        <w:lastRenderedPageBreak/>
        <w:t xml:space="preserve">Because </w:t>
      </w:r>
      <w:r w:rsidRPr="00042398">
        <w:rPr>
          <w:i/>
        </w:rPr>
        <w:t>Everson</w:t>
      </w:r>
      <w:r w:rsidRPr="00042398">
        <w:t xml:space="preserve"> holds an honored place as to incorporation doctrine and because the Justices in </w:t>
      </w:r>
      <w:r w:rsidRPr="00042398">
        <w:rPr>
          <w:i/>
        </w:rPr>
        <w:t>Everson</w:t>
      </w:r>
      <w:r w:rsidRPr="00042398">
        <w:t xml:space="preserve"> looked primarily to the writings of James Madison in writing their opinions, it bears a direct importance to this thesis and its analysis of Madisonian thought in regards to the Establishment Clause.</w:t>
      </w:r>
    </w:p>
    <w:p w:rsidR="00560376" w:rsidRDefault="00560376" w:rsidP="001D1114">
      <w:pPr>
        <w:tabs>
          <w:tab w:val="left" w:pos="720"/>
        </w:tabs>
        <w:spacing w:line="480" w:lineRule="auto"/>
        <w:contextualSpacing/>
      </w:pPr>
    </w:p>
    <w:p w:rsidR="00333943" w:rsidRDefault="00333943" w:rsidP="00992831">
      <w:pPr>
        <w:tabs>
          <w:tab w:val="left" w:pos="720"/>
        </w:tabs>
        <w:spacing w:line="480" w:lineRule="auto"/>
        <w:contextualSpacing/>
        <w:jc w:val="center"/>
      </w:pPr>
      <w:r>
        <w:rPr>
          <w:b/>
          <w:i/>
          <w:u w:val="single"/>
        </w:rPr>
        <w:t>Everson</w:t>
      </w:r>
      <w:r>
        <w:rPr>
          <w:b/>
          <w:u w:val="single"/>
        </w:rPr>
        <w:t xml:space="preserve"> a short synopsis</w:t>
      </w:r>
    </w:p>
    <w:p w:rsidR="00333943" w:rsidRDefault="00333943" w:rsidP="001D1114">
      <w:pPr>
        <w:tabs>
          <w:tab w:val="left" w:pos="720"/>
        </w:tabs>
        <w:spacing w:line="480" w:lineRule="auto"/>
        <w:contextualSpacing/>
      </w:pPr>
    </w:p>
    <w:p w:rsidR="005C011B" w:rsidRDefault="00333943" w:rsidP="001D1114">
      <w:pPr>
        <w:tabs>
          <w:tab w:val="left" w:pos="720"/>
        </w:tabs>
        <w:spacing w:line="480" w:lineRule="auto"/>
        <w:contextualSpacing/>
      </w:pPr>
      <w:r>
        <w:tab/>
      </w:r>
      <w:r w:rsidR="00112648">
        <w:t xml:space="preserve">In 1941, </w:t>
      </w:r>
      <w:r w:rsidR="007A1A19">
        <w:t xml:space="preserve">New Jersey </w:t>
      </w:r>
      <w:r w:rsidR="00112648">
        <w:t>passed a law concerning the transportation of students to and from school. In part that act read</w:t>
      </w:r>
      <w:r w:rsidR="00C23A5E">
        <w:t>:</w:t>
      </w:r>
      <w:r w:rsidR="00112648">
        <w:t xml:space="preserve"> “</w:t>
      </w:r>
      <w:r w:rsidR="00112648" w:rsidRPr="00112648">
        <w:t>Whenever in any district there are children living remote from any schoolhouse, the board of education of the district may make rules and contracts for the transportation of such children to and from school</w:t>
      </w:r>
      <w:r w:rsidR="00112648">
        <w:t>.”</w:t>
      </w:r>
      <w:r w:rsidR="00112648">
        <w:rPr>
          <w:rStyle w:val="FootnoteReference"/>
        </w:rPr>
        <w:footnoteReference w:id="169"/>
      </w:r>
      <w:r w:rsidR="00112648">
        <w:t xml:space="preserve"> The township of Ewing, lacking any public schools of its own</w:t>
      </w:r>
      <w:r w:rsidR="00685EDF">
        <w:t xml:space="preserve"> past the eight</w:t>
      </w:r>
      <w:r w:rsidR="009774C1">
        <w:t>h</w:t>
      </w:r>
      <w:r w:rsidR="00685EDF">
        <w:t xml:space="preserve"> grade</w:t>
      </w:r>
      <w:r w:rsidR="00112648">
        <w:t xml:space="preserve">, created a resolution to </w:t>
      </w:r>
      <w:r w:rsidR="006716D1">
        <w:t>pay for the transportation of</w:t>
      </w:r>
      <w:r w:rsidR="00112648">
        <w:t xml:space="preserve"> students either to public schools in nearby Trenton</w:t>
      </w:r>
      <w:r w:rsidR="006716D1">
        <w:t xml:space="preserve"> or to Catholic schools. </w:t>
      </w:r>
      <w:r w:rsidR="00A11016" w:rsidRPr="00A11016">
        <w:t>Th</w:t>
      </w:r>
      <w:r w:rsidR="002F3C0C">
        <w:t>at resolution read</w:t>
      </w:r>
      <w:r w:rsidR="00DE2677">
        <w:t>s</w:t>
      </w:r>
      <w:r w:rsidR="00C23A5E">
        <w:t>:</w:t>
      </w:r>
      <w:r w:rsidR="00A11016" w:rsidRPr="00A11016">
        <w:t xml:space="preserve"> </w:t>
      </w:r>
      <w:r w:rsidR="002F3C0C">
        <w:t xml:space="preserve">“The </w:t>
      </w:r>
      <w:r w:rsidR="00A11016" w:rsidRPr="00A11016">
        <w:t xml:space="preserve">Transportation Commtt. </w:t>
      </w:r>
      <w:r w:rsidR="002F3C0C">
        <w:t xml:space="preserve">(sic) </w:t>
      </w:r>
      <w:r w:rsidR="00A11016" w:rsidRPr="00A11016">
        <w:t>recommended the Transportation of Pupils of Ewing to the Trenton High and Pennington High and Trenton Catholic Schools, by way of public carriers as in recent years.</w:t>
      </w:r>
      <w:r w:rsidR="002F3C0C">
        <w:t>”</w:t>
      </w:r>
      <w:r w:rsidR="00CB34A7">
        <w:rPr>
          <w:rStyle w:val="FootnoteReference"/>
        </w:rPr>
        <w:footnoteReference w:id="170"/>
      </w:r>
      <w:r w:rsidR="002F3C0C">
        <w:t xml:space="preserve"> </w:t>
      </w:r>
      <w:r w:rsidR="006716D1">
        <w:t xml:space="preserve">The state legislation prohibited </w:t>
      </w:r>
      <w:r w:rsidR="0065348A">
        <w:t xml:space="preserve">payment for </w:t>
      </w:r>
      <w:r w:rsidR="006716D1">
        <w:t>transportation to any “for profit” school</w:t>
      </w:r>
      <w:r w:rsidR="00C23A5E">
        <w:t>.</w:t>
      </w:r>
      <w:r w:rsidR="006716D1">
        <w:t xml:space="preserve"> </w:t>
      </w:r>
      <w:r w:rsidR="00C23A5E">
        <w:t>T</w:t>
      </w:r>
      <w:r w:rsidR="006716D1">
        <w:t xml:space="preserve">here were no cases cited of students who “but for want of transportation” would have attended </w:t>
      </w:r>
      <w:r w:rsidR="00C23A5E">
        <w:t>“</w:t>
      </w:r>
      <w:r w:rsidR="006716D1">
        <w:t>any but public or Catholic school.</w:t>
      </w:r>
      <w:r w:rsidR="00C23A5E">
        <w:t>”</w:t>
      </w:r>
      <w:r w:rsidR="006716D1">
        <w:rPr>
          <w:rStyle w:val="FootnoteReference"/>
        </w:rPr>
        <w:footnoteReference w:id="171"/>
      </w:r>
      <w:r w:rsidR="006716D1">
        <w:t xml:space="preserve"> </w:t>
      </w:r>
    </w:p>
    <w:p w:rsidR="00333943" w:rsidRDefault="005C011B" w:rsidP="001D1114">
      <w:pPr>
        <w:tabs>
          <w:tab w:val="left" w:pos="720"/>
        </w:tabs>
        <w:spacing w:line="480" w:lineRule="auto"/>
        <w:contextualSpacing/>
      </w:pPr>
      <w:r>
        <w:lastRenderedPageBreak/>
        <w:tab/>
      </w:r>
      <w:r w:rsidR="006716D1">
        <w:t xml:space="preserve">The resolution by the board of education was challenged by Arch Everson, a taxpayer in the district </w:t>
      </w:r>
      <w:r w:rsidR="000D03B5">
        <w:t>who, i</w:t>
      </w:r>
      <w:r w:rsidR="00B21B1E">
        <w:t>n 1931</w:t>
      </w:r>
      <w:r w:rsidR="006F52EF">
        <w:t>,</w:t>
      </w:r>
      <w:r w:rsidR="000D03B5">
        <w:t xml:space="preserve"> </w:t>
      </w:r>
      <w:r w:rsidR="00B21B1E">
        <w:t>organized the New Jersey Taxpayers Association</w:t>
      </w:r>
      <w:r w:rsidR="006C1EF8">
        <w:t>, the “first truly militant organization of its kind,”</w:t>
      </w:r>
      <w:r w:rsidR="00B21B1E">
        <w:t xml:space="preserve"> </w:t>
      </w:r>
      <w:r w:rsidR="006C1EF8">
        <w:t>which brought together local taxpayers, civic groups, and other interest</w:t>
      </w:r>
      <w:r w:rsidR="00F7762B">
        <w:t>ed</w:t>
      </w:r>
      <w:r w:rsidR="006C1EF8">
        <w:t xml:space="preserve"> individuals who were </w:t>
      </w:r>
      <w:r w:rsidR="00F7762B">
        <w:t>concerned</w:t>
      </w:r>
      <w:r w:rsidR="006C1EF8">
        <w:t xml:space="preserve"> </w:t>
      </w:r>
      <w:r w:rsidR="00F7762B">
        <w:t>with</w:t>
      </w:r>
      <w:r w:rsidR="006C1EF8">
        <w:t xml:space="preserve"> government affairs.</w:t>
      </w:r>
      <w:r w:rsidR="006C1EF8">
        <w:rPr>
          <w:rStyle w:val="FootnoteReference"/>
        </w:rPr>
        <w:footnoteReference w:id="172"/>
      </w:r>
      <w:r w:rsidR="000D03B5">
        <w:t xml:space="preserve"> </w:t>
      </w:r>
      <w:r w:rsidR="00042398">
        <w:t>While there were several facets to Everson’s challenge to the resolution, the primary basis for the suit was that he believed the reimbursement of funds to parents of children attending parochial schools violated the First Amendment Establishment clause and was therefore invalid</w:t>
      </w:r>
      <w:r w:rsidR="000D03B5" w:rsidRPr="000D03B5">
        <w:t>.</w:t>
      </w:r>
      <w:r w:rsidR="000D03B5" w:rsidRPr="000D03B5">
        <w:rPr>
          <w:vertAlign w:val="superscript"/>
        </w:rPr>
        <w:footnoteReference w:id="173"/>
      </w:r>
    </w:p>
    <w:p w:rsidR="002F3C0C" w:rsidRDefault="002F3C0C" w:rsidP="001D1114">
      <w:pPr>
        <w:tabs>
          <w:tab w:val="left" w:pos="720"/>
        </w:tabs>
        <w:spacing w:line="480" w:lineRule="auto"/>
        <w:contextualSpacing/>
      </w:pPr>
      <w:r>
        <w:tab/>
        <w:t>After making its way through the state courts</w:t>
      </w:r>
      <w:r w:rsidR="00C23A5E">
        <w:t>,</w:t>
      </w:r>
      <w:r>
        <w:t xml:space="preserve"> </w:t>
      </w:r>
      <w:r w:rsidR="00F7762B" w:rsidRPr="00F7762B">
        <w:rPr>
          <w:i/>
        </w:rPr>
        <w:t>Everson</w:t>
      </w:r>
      <w:r>
        <w:t xml:space="preserve"> </w:t>
      </w:r>
      <w:r w:rsidR="00C23A5E">
        <w:t xml:space="preserve">was appealed </w:t>
      </w:r>
      <w:r>
        <w:t>to the Supreme Court</w:t>
      </w:r>
      <w:r w:rsidR="007A1A19">
        <w:t xml:space="preserve">. The case </w:t>
      </w:r>
      <w:r w:rsidR="000D03B5">
        <w:t xml:space="preserve">was </w:t>
      </w:r>
      <w:r>
        <w:t xml:space="preserve">argued on November 20, 1946 </w:t>
      </w:r>
      <w:r w:rsidR="007A1A19">
        <w:t xml:space="preserve">and </w:t>
      </w:r>
      <w:r>
        <w:t xml:space="preserve">decided on February 10, 1947. In his </w:t>
      </w:r>
      <w:r w:rsidR="00330142">
        <w:t xml:space="preserve">majority </w:t>
      </w:r>
      <w:r w:rsidR="00857048">
        <w:t>opinion,</w:t>
      </w:r>
      <w:r>
        <w:t xml:space="preserve"> Justice Black held</w:t>
      </w:r>
      <w:r w:rsidR="00D9749D">
        <w:t xml:space="preserve"> </w:t>
      </w:r>
      <w:r w:rsidR="005107E3">
        <w:t xml:space="preserve">that </w:t>
      </w:r>
      <w:r w:rsidR="002C5848">
        <w:t>the First Amendment did not prohibit New Jersey from spending “taxraised (sic) funds to pay the bus fares of parochial school pupils.”</w:t>
      </w:r>
      <w:r w:rsidR="002C5848">
        <w:rPr>
          <w:rStyle w:val="FootnoteReference"/>
        </w:rPr>
        <w:footnoteReference w:id="174"/>
      </w:r>
      <w:r w:rsidR="002C5848">
        <w:t xml:space="preserve"> While expressing the thought that the “wall between church and state . . . must be kept high and impregnable,”</w:t>
      </w:r>
      <w:r w:rsidR="00CA68EA">
        <w:rPr>
          <w:rStyle w:val="FootnoteReference"/>
        </w:rPr>
        <w:footnoteReference w:id="175"/>
      </w:r>
      <w:r w:rsidR="002C5848">
        <w:t xml:space="preserve"> he did not find</w:t>
      </w:r>
      <w:r w:rsidR="00F7762B">
        <w:t>,</w:t>
      </w:r>
      <w:r w:rsidR="002C5848">
        <w:t xml:space="preserve"> in this case</w:t>
      </w:r>
      <w:r w:rsidR="00F7762B">
        <w:t>,</w:t>
      </w:r>
      <w:r w:rsidR="002C5848">
        <w:t xml:space="preserve"> </w:t>
      </w:r>
      <w:r w:rsidR="00857048">
        <w:t>that the wall</w:t>
      </w:r>
      <w:r w:rsidR="002C5848">
        <w:t xml:space="preserve"> was breached. Here, </w:t>
      </w:r>
      <w:r w:rsidR="00DE2677">
        <w:t xml:space="preserve">according to Black, </w:t>
      </w:r>
      <w:r w:rsidR="002C5848">
        <w:t>what was being offered was a common service for the public benefit, in much the same manner as police and fire services</w:t>
      </w:r>
      <w:r w:rsidR="00A2459C">
        <w:t>,</w:t>
      </w:r>
      <w:r w:rsidR="002C5848">
        <w:t xml:space="preserve"> where the recipients should not be denied service </w:t>
      </w:r>
      <w:r w:rsidR="003D6C9B">
        <w:t>solely on the basis of their religious affiliation. Rather, this was not a direct benefit to a religious group and</w:t>
      </w:r>
      <w:r w:rsidR="00C23A5E">
        <w:t>,</w:t>
      </w:r>
      <w:r w:rsidR="003D6C9B">
        <w:t xml:space="preserve"> therefore</w:t>
      </w:r>
      <w:r w:rsidR="00C23A5E">
        <w:t>,</w:t>
      </w:r>
      <w:r w:rsidR="003D6C9B">
        <w:t xml:space="preserve"> was not a violation of First Amendment rights.</w:t>
      </w:r>
      <w:r w:rsidR="003D6C9B">
        <w:rPr>
          <w:rStyle w:val="FootnoteReference"/>
        </w:rPr>
        <w:footnoteReference w:id="176"/>
      </w:r>
      <w:r w:rsidR="003D6C9B">
        <w:t xml:space="preserve"> </w:t>
      </w:r>
    </w:p>
    <w:p w:rsidR="00BC4964" w:rsidRDefault="003D6C9B" w:rsidP="001D1114">
      <w:pPr>
        <w:tabs>
          <w:tab w:val="left" w:pos="720"/>
        </w:tabs>
        <w:spacing w:line="480" w:lineRule="auto"/>
        <w:contextualSpacing/>
      </w:pPr>
      <w:r>
        <w:lastRenderedPageBreak/>
        <w:tab/>
        <w:t>The Primary dissent</w:t>
      </w:r>
      <w:r w:rsidR="00DE2677">
        <w:t>,</w:t>
      </w:r>
      <w:r>
        <w:t xml:space="preserve"> </w:t>
      </w:r>
      <w:r w:rsidR="00DE2677">
        <w:t xml:space="preserve">which </w:t>
      </w:r>
      <w:r w:rsidR="00F7762B">
        <w:t>considered</w:t>
      </w:r>
      <w:r w:rsidR="00DE2677">
        <w:t xml:space="preserve"> Madison’s writings,</w:t>
      </w:r>
      <w:r>
        <w:t xml:space="preserve"> </w:t>
      </w:r>
      <w:r w:rsidR="00F7762B">
        <w:t>wa</w:t>
      </w:r>
      <w:r w:rsidR="00DE2677">
        <w:t xml:space="preserve">s that of </w:t>
      </w:r>
      <w:r>
        <w:t>Justice</w:t>
      </w:r>
      <w:r w:rsidR="00042B50">
        <w:t xml:space="preserve"> Wiley</w:t>
      </w:r>
      <w:r>
        <w:t xml:space="preserve"> Rutledge</w:t>
      </w:r>
      <w:r w:rsidR="00D64834">
        <w:t>, who was</w:t>
      </w:r>
      <w:r>
        <w:t xml:space="preserve"> </w:t>
      </w:r>
      <w:r w:rsidR="00D64834">
        <w:t>j</w:t>
      </w:r>
      <w:r w:rsidR="001D2C1C">
        <w:t xml:space="preserve">oined in his dissent by Justices </w:t>
      </w:r>
      <w:r w:rsidR="00C475F1">
        <w:t>Frankfurter, Jackson, and Burton</w:t>
      </w:r>
      <w:r w:rsidR="00D64834">
        <w:t>.</w:t>
      </w:r>
      <w:r w:rsidR="00C475F1">
        <w:t xml:space="preserve"> Rutledge makes the argument that the cost of transportation is actually part of the cost of religious education and therefore prohibited by the First Amendment</w:t>
      </w:r>
      <w:r w:rsidR="00185335">
        <w:t>,</w:t>
      </w:r>
      <w:r w:rsidR="00C475F1">
        <w:t xml:space="preserve"> as supported by Madison’s </w:t>
      </w:r>
      <w:r w:rsidR="00C475F1">
        <w:rPr>
          <w:i/>
        </w:rPr>
        <w:t>Memorial and Remonstrance</w:t>
      </w:r>
      <w:r w:rsidR="00F7762B">
        <w:rPr>
          <w:i/>
        </w:rPr>
        <w:t>.</w:t>
      </w:r>
      <w:r w:rsidR="00C475F1">
        <w:t xml:space="preserve"> </w:t>
      </w:r>
      <w:r w:rsidR="00F7762B">
        <w:t>Rutledge contends that</w:t>
      </w:r>
      <w:r w:rsidR="00C475F1">
        <w:t xml:space="preserve"> Madison indicates that it is not the amount of the tax that is the concern</w:t>
      </w:r>
      <w:r w:rsidR="00A2459C">
        <w:t>,</w:t>
      </w:r>
      <w:r w:rsidR="00C475F1">
        <w:t xml:space="preserve"> but the fact that if one decision in favor of one religion can be enacted then there is no barrier that </w:t>
      </w:r>
      <w:r w:rsidR="00560376">
        <w:t>cannot</w:t>
      </w:r>
      <w:r w:rsidR="00C475F1">
        <w:t xml:space="preserve"> be breached in regards to religion and religious freedom.</w:t>
      </w:r>
      <w:r w:rsidR="00C475F1">
        <w:rPr>
          <w:rStyle w:val="FootnoteReference"/>
        </w:rPr>
        <w:footnoteReference w:id="177"/>
      </w:r>
      <w:r w:rsidR="00185335" w:rsidRPr="00185335">
        <w:t xml:space="preserve"> </w:t>
      </w:r>
    </w:p>
    <w:p w:rsidR="00C25C09" w:rsidRDefault="00C25C09" w:rsidP="001D1114">
      <w:pPr>
        <w:tabs>
          <w:tab w:val="left" w:pos="720"/>
        </w:tabs>
        <w:spacing w:line="480" w:lineRule="auto"/>
        <w:contextualSpacing/>
      </w:pPr>
    </w:p>
    <w:p w:rsidR="00C25C09" w:rsidRPr="00C25C09" w:rsidRDefault="00C25C09" w:rsidP="00EE1815">
      <w:pPr>
        <w:tabs>
          <w:tab w:val="left" w:pos="720"/>
        </w:tabs>
        <w:spacing w:line="480" w:lineRule="auto"/>
        <w:contextualSpacing/>
        <w:jc w:val="center"/>
        <w:rPr>
          <w:b/>
          <w:u w:val="single"/>
        </w:rPr>
      </w:pPr>
      <w:r w:rsidRPr="00C25C09">
        <w:rPr>
          <w:b/>
          <w:u w:val="single"/>
        </w:rPr>
        <w:t>1947</w:t>
      </w:r>
    </w:p>
    <w:p w:rsidR="00C25C09" w:rsidRPr="00C25C09" w:rsidRDefault="00C25C09" w:rsidP="00C25C09">
      <w:pPr>
        <w:tabs>
          <w:tab w:val="left" w:pos="720"/>
        </w:tabs>
        <w:spacing w:line="480" w:lineRule="auto"/>
        <w:contextualSpacing/>
      </w:pPr>
    </w:p>
    <w:p w:rsidR="00C25C09" w:rsidRPr="00C25C09" w:rsidRDefault="00C25C09" w:rsidP="00C25C09">
      <w:pPr>
        <w:tabs>
          <w:tab w:val="left" w:pos="720"/>
        </w:tabs>
        <w:spacing w:line="480" w:lineRule="auto"/>
        <w:contextualSpacing/>
      </w:pPr>
      <w:r w:rsidRPr="00C25C09">
        <w:tab/>
        <w:t>Though it is impossible to know with absolute certainty, it is a fair assessment to claim that one would be hard pressed to find people in the United States who were imprisoned for their religious convictions</w:t>
      </w:r>
      <w:r>
        <w:t xml:space="preserve"> </w:t>
      </w:r>
      <w:r w:rsidR="00BE7D4B">
        <w:t>in</w:t>
      </w:r>
      <w:r>
        <w:t xml:space="preserve"> 1947.</w:t>
      </w:r>
      <w:r w:rsidRPr="00C25C09">
        <w:rPr>
          <w:vertAlign w:val="superscript"/>
        </w:rPr>
        <w:footnoteReference w:id="178"/>
      </w:r>
      <w:r w:rsidRPr="00C25C09">
        <w:t xml:space="preserve"> Justice Black notes in the </w:t>
      </w:r>
      <w:r w:rsidRPr="00BC670B">
        <w:rPr>
          <w:i/>
        </w:rPr>
        <w:t>Everson</w:t>
      </w:r>
      <w:r w:rsidRPr="00C25C09">
        <w:t xml:space="preserve"> opinion that the words “Law respecting the establishment of religion” probably did not have the same impact on people in 1947 as it did on those of James Madison’s generation.</w:t>
      </w:r>
      <w:r w:rsidRPr="00C25C09">
        <w:rPr>
          <w:vertAlign w:val="superscript"/>
        </w:rPr>
        <w:footnoteReference w:id="179"/>
      </w:r>
      <w:r w:rsidR="00D64834">
        <w:t xml:space="preserve"> </w:t>
      </w:r>
      <w:r w:rsidRPr="00C25C09">
        <w:t xml:space="preserve">However, that should not be construed to mean that religious factionalism was a thing of the past. In fact, religious factionalism was alive and well. </w:t>
      </w:r>
    </w:p>
    <w:p w:rsidR="00C25C09" w:rsidRPr="00C25C09" w:rsidRDefault="00C25C09" w:rsidP="00C25C09">
      <w:pPr>
        <w:tabs>
          <w:tab w:val="left" w:pos="720"/>
        </w:tabs>
        <w:spacing w:line="480" w:lineRule="auto"/>
        <w:contextualSpacing/>
      </w:pPr>
      <w:r w:rsidRPr="00C25C09">
        <w:lastRenderedPageBreak/>
        <w:tab/>
        <w:t>Justice Black’s association with the Ku Klux Klan is a case in point. One of the major tenants of Klan policy was anti-Catholicism which, in the 1920s, represented the “prejudices, ignorance, and inherent violence of numerous poor, white Protestants but also their desire for a share in political and economic power from which they had long been virtually excluded.”</w:t>
      </w:r>
      <w:r w:rsidRPr="00C25C09">
        <w:rPr>
          <w:vertAlign w:val="superscript"/>
        </w:rPr>
        <w:footnoteReference w:id="180"/>
      </w:r>
      <w:r w:rsidRPr="00C25C09">
        <w:t xml:space="preserve"> From Black’s point of view</w:t>
      </w:r>
      <w:r w:rsidR="00D64834">
        <w:t>,</w:t>
      </w:r>
      <w:r w:rsidRPr="00C25C09">
        <w:t xml:space="preserve"> a brief association with the Klan, in the short term, was simply good politics, using whatever means necessary to achieve his political ends,</w:t>
      </w:r>
      <w:r w:rsidRPr="00C25C09">
        <w:rPr>
          <w:vertAlign w:val="superscript"/>
        </w:rPr>
        <w:footnoteReference w:id="181"/>
      </w:r>
      <w:r w:rsidRPr="00C25C09">
        <w:t xml:space="preserve"> but the fact cannot be denied that Klan politics were partially defined in a religious context. </w:t>
      </w:r>
      <w:r w:rsidR="00B54DA7">
        <w:t>There is no question</w:t>
      </w:r>
      <w:r w:rsidRPr="00C25C09">
        <w:t xml:space="preserve"> that controversies over religion</w:t>
      </w:r>
      <w:r w:rsidR="00B54DA7">
        <w:t xml:space="preserve"> </w:t>
      </w:r>
      <w:r w:rsidRPr="00C25C09">
        <w:t xml:space="preserve">sometimes </w:t>
      </w:r>
      <w:r w:rsidR="00B54DA7">
        <w:t xml:space="preserve">led to </w:t>
      </w:r>
      <w:r w:rsidRPr="00C25C09">
        <w:t xml:space="preserve">violent conflict between the Roman Catholic immigrants and those who saw the immigrants and their religion as </w:t>
      </w:r>
      <w:r w:rsidR="00B54DA7">
        <w:t xml:space="preserve">problematic and a </w:t>
      </w:r>
      <w:r w:rsidRPr="00C25C09">
        <w:t>threat to the</w:t>
      </w:r>
      <w:r w:rsidR="00B54DA7">
        <w:t xml:space="preserve">ir </w:t>
      </w:r>
      <w:r w:rsidRPr="00C25C09">
        <w:t>way of life.</w:t>
      </w:r>
      <w:r w:rsidRPr="00C25C09">
        <w:rPr>
          <w:vertAlign w:val="superscript"/>
        </w:rPr>
        <w:footnoteReference w:id="182"/>
      </w:r>
      <w:r w:rsidRPr="00C25C09">
        <w:t xml:space="preserve"> Much of the ethnic and immigration turmoil and violence in the history of the United States included religious subtexts. Religious factionalism was clearly still at work in the United States even into the mid-twentieth century. </w:t>
      </w:r>
    </w:p>
    <w:p w:rsidR="00B54DA7" w:rsidRDefault="00C25C09" w:rsidP="001D1114">
      <w:pPr>
        <w:tabs>
          <w:tab w:val="left" w:pos="720"/>
        </w:tabs>
        <w:spacing w:line="480" w:lineRule="auto"/>
        <w:contextualSpacing/>
      </w:pPr>
      <w:r w:rsidRPr="00C25C09">
        <w:tab/>
        <w:t xml:space="preserve">From a slightly different perspective, Justice Rutledge </w:t>
      </w:r>
      <w:r>
        <w:t xml:space="preserve">in his dissenting opinion in </w:t>
      </w:r>
      <w:r w:rsidRPr="00C25C09">
        <w:rPr>
          <w:i/>
        </w:rPr>
        <w:t>Everson</w:t>
      </w:r>
      <w:r>
        <w:t xml:space="preserve"> </w:t>
      </w:r>
      <w:r w:rsidRPr="00C25C09">
        <w:t>notes that the payment of bus transportation was of particular benefit to the Catholic Church but a burden to those who do not believe. “Each thus contributes to ‘the propagation of opinions which he disbelieves' in so far as their religious differ, as do others who accept no creed without regard to those differences.”</w:t>
      </w:r>
      <w:r w:rsidRPr="00C25C09">
        <w:rPr>
          <w:vertAlign w:val="superscript"/>
        </w:rPr>
        <w:footnoteReference w:id="183"/>
      </w:r>
      <w:r w:rsidRPr="00C25C09">
        <w:t xml:space="preserve"> Rutledge </w:t>
      </w:r>
      <w:r w:rsidR="00B54DA7">
        <w:t xml:space="preserve">was </w:t>
      </w:r>
      <w:r w:rsidR="00B54DA7">
        <w:lastRenderedPageBreak/>
        <w:t xml:space="preserve">convinced that the Ewing resolution was a blatant attempt by the Catholic Church </w:t>
      </w:r>
      <w:r w:rsidRPr="00C25C09">
        <w:t>to secure money from the public treasury.</w:t>
      </w:r>
      <w:r w:rsidRPr="00C25C09">
        <w:rPr>
          <w:vertAlign w:val="superscript"/>
        </w:rPr>
        <w:footnoteReference w:id="184"/>
      </w:r>
      <w:r w:rsidRPr="00C25C09">
        <w:t xml:space="preserve"> </w:t>
      </w:r>
    </w:p>
    <w:p w:rsidR="00C25C09" w:rsidRDefault="00B54DA7" w:rsidP="001D1114">
      <w:pPr>
        <w:tabs>
          <w:tab w:val="left" w:pos="720"/>
        </w:tabs>
        <w:spacing w:line="480" w:lineRule="auto"/>
        <w:contextualSpacing/>
      </w:pPr>
      <w:r>
        <w:tab/>
      </w:r>
      <w:r w:rsidR="00C25C09" w:rsidRPr="00C25C09">
        <w:t>The Catholic Church filed brief</w:t>
      </w:r>
      <w:r>
        <w:t>s</w:t>
      </w:r>
      <w:r w:rsidR="00C25C09" w:rsidRPr="00C25C09">
        <w:t xml:space="preserve"> representing both the Catholic Men’s and Catholic Women’s organizations in regards to the case expressing, in part, that to deny transportation costs, provided to public school children, to Catholic children would be a hardship on the children.</w:t>
      </w:r>
      <w:r w:rsidR="00C25C09" w:rsidRPr="00C25C09">
        <w:rPr>
          <w:vertAlign w:val="superscript"/>
        </w:rPr>
        <w:footnoteReference w:id="185"/>
      </w:r>
      <w:r w:rsidR="00C25C09" w:rsidRPr="00C25C09">
        <w:t xml:space="preserve"> On the other side of the argument, several of the Baptist organizations and the Seventh Day Adventists joined together in an Amicus brief, arguing that the New Jersey resolution does breach the wall of separation and that the “‘equal treatment’ of children attending parochial schools and those attending public schools is a fallacious argument.”</w:t>
      </w:r>
      <w:r w:rsidR="00C25C09" w:rsidRPr="00C25C09">
        <w:rPr>
          <w:vertAlign w:val="superscript"/>
        </w:rPr>
        <w:footnoteReference w:id="186"/>
      </w:r>
      <w:r w:rsidR="00C25C09" w:rsidRPr="00C25C09">
        <w:t xml:space="preserve"> Even here, in the </w:t>
      </w:r>
      <w:r w:rsidR="00C25C09" w:rsidRPr="00BC670B">
        <w:rPr>
          <w:i/>
        </w:rPr>
        <w:t>Everson</w:t>
      </w:r>
      <w:r w:rsidR="00C25C09" w:rsidRPr="00C25C09">
        <w:t xml:space="preserve"> case we find religious factionalism rearing its ugly head.</w:t>
      </w:r>
    </w:p>
    <w:p w:rsidR="00E22940" w:rsidRDefault="00E22940" w:rsidP="001D1114">
      <w:pPr>
        <w:tabs>
          <w:tab w:val="left" w:pos="720"/>
        </w:tabs>
        <w:spacing w:line="480" w:lineRule="auto"/>
        <w:contextualSpacing/>
      </w:pPr>
    </w:p>
    <w:p w:rsidR="001C6372" w:rsidRDefault="001C6372" w:rsidP="00992831">
      <w:pPr>
        <w:tabs>
          <w:tab w:val="left" w:pos="720"/>
        </w:tabs>
        <w:spacing w:line="480" w:lineRule="auto"/>
        <w:contextualSpacing/>
        <w:jc w:val="center"/>
      </w:pPr>
      <w:r>
        <w:rPr>
          <w:b/>
          <w:u w:val="single"/>
        </w:rPr>
        <w:t>Justice Hugo Black</w:t>
      </w:r>
    </w:p>
    <w:p w:rsidR="001C6372" w:rsidRDefault="001C6372" w:rsidP="001C6372">
      <w:pPr>
        <w:tabs>
          <w:tab w:val="left" w:pos="720"/>
        </w:tabs>
        <w:spacing w:line="480" w:lineRule="auto"/>
        <w:contextualSpacing/>
      </w:pPr>
    </w:p>
    <w:p w:rsidR="00B54DA7" w:rsidRDefault="001C6372" w:rsidP="009B50E7">
      <w:pPr>
        <w:tabs>
          <w:tab w:val="left" w:pos="720"/>
        </w:tabs>
        <w:spacing w:line="480" w:lineRule="auto"/>
        <w:contextualSpacing/>
      </w:pPr>
      <w:r>
        <w:tab/>
      </w:r>
      <w:r w:rsidR="001810D4">
        <w:t>Justice Hugo Black liked to refer to himself as “</w:t>
      </w:r>
      <w:r w:rsidR="00D97CD4">
        <w:t>just a Clay County Hillbilly</w:t>
      </w:r>
      <w:r w:rsidR="00CC1D2A">
        <w:t>,</w:t>
      </w:r>
      <w:r w:rsidR="00D97CD4">
        <w:t>”</w:t>
      </w:r>
      <w:r w:rsidR="00D97CD4">
        <w:rPr>
          <w:rStyle w:val="FootnoteReference"/>
        </w:rPr>
        <w:footnoteReference w:id="187"/>
      </w:r>
      <w:r w:rsidR="00CC1D2A">
        <w:t xml:space="preserve"> </w:t>
      </w:r>
      <w:r w:rsidR="00C25C09">
        <w:t xml:space="preserve">from Alabama; </w:t>
      </w:r>
      <w:r w:rsidR="00CC1D2A">
        <w:t>however, to many,</w:t>
      </w:r>
      <w:r w:rsidR="00042B50">
        <w:t xml:space="preserve"> </w:t>
      </w:r>
      <w:r w:rsidR="00CC1D2A">
        <w:t>Black was one of the greatest legal minds to grace the Supreme Court. A fundamentalist and textualist, he was, in the words of Chief Justice Earl Warren,</w:t>
      </w:r>
      <w:r w:rsidR="00465E7F">
        <w:t xml:space="preserve"> committed to the belief that the Bill of Rights was written by “men who </w:t>
      </w:r>
      <w:r w:rsidR="00465E7F">
        <w:lastRenderedPageBreak/>
        <w:t>knew what they wanted to say and how to express themselves; and that its words should be construed literally to that end.”</w:t>
      </w:r>
      <w:r w:rsidR="00465E7F">
        <w:rPr>
          <w:rStyle w:val="FootnoteReference"/>
        </w:rPr>
        <w:footnoteReference w:id="188"/>
      </w:r>
      <w:r w:rsidR="00CC1D2A">
        <w:t xml:space="preserve"> </w:t>
      </w:r>
      <w:r w:rsidR="00465E7F">
        <w:t xml:space="preserve">He is famous, or perhaps more appropriately </w:t>
      </w:r>
      <w:r w:rsidR="00847312">
        <w:t>infamous, for having said at a lecture for</w:t>
      </w:r>
      <w:r w:rsidR="00847312" w:rsidRPr="00847312">
        <w:rPr>
          <w:rFonts w:ascii="Georgia" w:hAnsi="Georgia"/>
          <w:color w:val="333333"/>
          <w:sz w:val="26"/>
          <w:szCs w:val="26"/>
        </w:rPr>
        <w:t xml:space="preserve"> </w:t>
      </w:r>
      <w:r w:rsidR="00847312" w:rsidRPr="00847312">
        <w:t>New York University School of Law’s James Madison Lecture</w:t>
      </w:r>
      <w:r w:rsidR="00847312">
        <w:t>, in regards to the Establishment Clause of the First Amendment, “</w:t>
      </w:r>
      <w:r w:rsidR="00847312" w:rsidRPr="00847312">
        <w:t>No law means no law</w:t>
      </w:r>
      <w:r w:rsidR="00847312">
        <w:t>.”</w:t>
      </w:r>
      <w:r w:rsidR="00847312">
        <w:rPr>
          <w:rStyle w:val="FootnoteReference"/>
        </w:rPr>
        <w:footnoteReference w:id="189"/>
      </w:r>
      <w:r w:rsidR="00847312">
        <w:t xml:space="preserve"> </w:t>
      </w:r>
      <w:r w:rsidR="005F330C">
        <w:t>He believed that the Bill of Rights</w:t>
      </w:r>
      <w:r w:rsidR="00C25C09">
        <w:t xml:space="preserve"> </w:t>
      </w:r>
      <w:r w:rsidR="005F330C">
        <w:t>should be incorporated to the states through the Fourteenth Amendment, as the crafters of that amendment had</w:t>
      </w:r>
      <w:r w:rsidR="006F52EF">
        <w:t>, in his opinion,</w:t>
      </w:r>
      <w:r w:rsidR="005F330C">
        <w:t xml:space="preserve"> designed it to do. He expressed his belief in this regard in his dissent in </w:t>
      </w:r>
      <w:r w:rsidR="00526BB7" w:rsidRPr="00526BB7">
        <w:rPr>
          <w:i/>
        </w:rPr>
        <w:t xml:space="preserve">Adamson v. People of State of California, </w:t>
      </w:r>
      <w:r w:rsidR="00526BB7" w:rsidRPr="00526BB7">
        <w:t>332 U.S. 46, (1947)</w:t>
      </w:r>
      <w:r w:rsidR="005F330C">
        <w:t xml:space="preserve"> where he stated, “</w:t>
      </w:r>
      <w:r w:rsidR="009B50E7" w:rsidRPr="009B50E7">
        <w:t>the people of no nation can lose their liberty so long as a Bill of Rights like ours survives and its basic purposes are conscientiously interpreted, enforced and respected so as to afford continuous protection against old, as well as new, devices and practices which might thwart those purposes</w:t>
      </w:r>
      <w:r w:rsidR="009B50E7">
        <w:t xml:space="preserve"> . . . </w:t>
      </w:r>
      <w:r w:rsidR="009B50E7" w:rsidRPr="009B50E7">
        <w:t>I would follow what I believe was the original purpose of the Fourteenth Amendment—to extend to all the people of the nation the complete protection of the Bill of Rights.</w:t>
      </w:r>
      <w:r w:rsidR="009B50E7">
        <w:t>”</w:t>
      </w:r>
      <w:r w:rsidR="009B50E7">
        <w:rPr>
          <w:rStyle w:val="FootnoteReference"/>
        </w:rPr>
        <w:footnoteReference w:id="190"/>
      </w:r>
    </w:p>
    <w:p w:rsidR="00B71C70" w:rsidRDefault="009B50E7" w:rsidP="009B50E7">
      <w:pPr>
        <w:tabs>
          <w:tab w:val="left" w:pos="720"/>
        </w:tabs>
        <w:spacing w:line="480" w:lineRule="auto"/>
        <w:contextualSpacing/>
      </w:pPr>
      <w:r>
        <w:tab/>
        <w:t xml:space="preserve">Black was both a </w:t>
      </w:r>
      <w:r w:rsidR="00F875AC">
        <w:t>prosecutor</w:t>
      </w:r>
      <w:r>
        <w:t xml:space="preserve"> and a municipal court judge before his association with the Ku Klux Klan propelled him to the Senate where he was an ardent New Deal</w:t>
      </w:r>
      <w:r w:rsidR="00F875AC">
        <w:t xml:space="preserve"> </w:t>
      </w:r>
      <w:r w:rsidR="004D4EAE">
        <w:t>D</w:t>
      </w:r>
      <w:r w:rsidR="00F875AC">
        <w:t>emocrat.</w:t>
      </w:r>
      <w:r w:rsidR="00B71C70">
        <w:rPr>
          <w:rStyle w:val="FootnoteReference"/>
        </w:rPr>
        <w:footnoteReference w:id="191"/>
      </w:r>
      <w:r w:rsidR="00F875AC">
        <w:t xml:space="preserve"> In fact, Black, even before he could enunciate clearly</w:t>
      </w:r>
      <w:r w:rsidR="00F10087">
        <w:t>,</w:t>
      </w:r>
      <w:r w:rsidR="00F875AC">
        <w:t xml:space="preserve"> claimed to be a “democat</w:t>
      </w:r>
      <w:r w:rsidR="00C25C09">
        <w:t xml:space="preserve"> (sic)</w:t>
      </w:r>
      <w:r w:rsidR="00F875AC">
        <w:t>” when people teased him about being a “populist.”</w:t>
      </w:r>
      <w:r w:rsidR="00F875AC">
        <w:rPr>
          <w:rStyle w:val="FootnoteReference"/>
        </w:rPr>
        <w:footnoteReference w:id="192"/>
      </w:r>
      <w:r w:rsidR="00F875AC">
        <w:t xml:space="preserve"> Though not a </w:t>
      </w:r>
      <w:r w:rsidR="00F875AC">
        <w:lastRenderedPageBreak/>
        <w:t xml:space="preserve">religious man in his later life, Black was raised by his mother in the Primitive Baptist </w:t>
      </w:r>
      <w:r w:rsidR="003242B8">
        <w:t>Church</w:t>
      </w:r>
      <w:r w:rsidR="00F875AC">
        <w:t>, an association that he continued</w:t>
      </w:r>
      <w:r w:rsidR="00107855">
        <w:t xml:space="preserve"> in</w:t>
      </w:r>
      <w:r w:rsidR="00F875AC">
        <w:t xml:space="preserve"> until he arrived in Washington as a senator.</w:t>
      </w:r>
      <w:r w:rsidR="00F875AC">
        <w:rPr>
          <w:rStyle w:val="FootnoteReference"/>
        </w:rPr>
        <w:footnoteReference w:id="193"/>
      </w:r>
      <w:r w:rsidR="00F875AC">
        <w:t xml:space="preserve"> Despite his lack of personal religious convictions</w:t>
      </w:r>
      <w:r w:rsidR="00F7762B">
        <w:t>—he</w:t>
      </w:r>
      <w:r w:rsidR="00F875AC">
        <w:t xml:space="preserve"> saw religion as more of a moral compass</w:t>
      </w:r>
      <w:r w:rsidR="00F7762B">
        <w:t>—he</w:t>
      </w:r>
      <w:r w:rsidR="00F875AC">
        <w:t xml:space="preserve"> understood that religion was of great importance to many people.</w:t>
      </w:r>
      <w:r w:rsidR="00F10087">
        <w:rPr>
          <w:rStyle w:val="FootnoteReference"/>
        </w:rPr>
        <w:footnoteReference w:id="194"/>
      </w:r>
      <w:r w:rsidR="00F875AC">
        <w:t xml:space="preserve"> He therefore, adopted the stance as Madison and Jefferson</w:t>
      </w:r>
      <w:r w:rsidR="00A2459C">
        <w:t>,</w:t>
      </w:r>
      <w:r w:rsidR="00F875AC">
        <w:t xml:space="preserve"> </w:t>
      </w:r>
      <w:r w:rsidR="00A2459C" w:rsidRPr="00A2459C">
        <w:t>that religion was to be</w:t>
      </w:r>
      <w:r w:rsidR="00F875AC">
        <w:t xml:space="preserve"> directed strictly by personal conscience and not by government intervention.</w:t>
      </w:r>
      <w:r w:rsidR="00F875AC">
        <w:rPr>
          <w:rStyle w:val="FootnoteReference"/>
        </w:rPr>
        <w:footnoteReference w:id="195"/>
      </w:r>
      <w:r w:rsidR="00BB2BF5">
        <w:t xml:space="preserve"> </w:t>
      </w:r>
    </w:p>
    <w:p w:rsidR="008446CC" w:rsidRDefault="00B71C70" w:rsidP="009B50E7">
      <w:pPr>
        <w:tabs>
          <w:tab w:val="left" w:pos="720"/>
        </w:tabs>
        <w:spacing w:line="480" w:lineRule="auto"/>
        <w:contextualSpacing/>
      </w:pPr>
      <w:r>
        <w:tab/>
        <w:t xml:space="preserve">Black was nominated to the </w:t>
      </w:r>
      <w:r w:rsidR="008446CC">
        <w:t>Supreme C</w:t>
      </w:r>
      <w:r>
        <w:t>ourt by Franklin D. Roosevelt in an effort to sway the court in his favor in regards to his New Deal programs and legislation</w:t>
      </w:r>
      <w:r w:rsidR="008820BE">
        <w:t>s</w:t>
      </w:r>
      <w:r>
        <w:t xml:space="preserve"> that </w:t>
      </w:r>
      <w:r w:rsidR="002804EB">
        <w:t xml:space="preserve">were </w:t>
      </w:r>
      <w:r>
        <w:t>coming out of the Congress at the time.</w:t>
      </w:r>
      <w:r w:rsidR="00D538BC" w:rsidRPr="00D538BC">
        <w:t xml:space="preserve"> On several occasions the </w:t>
      </w:r>
      <w:r w:rsidR="000421F4">
        <w:t>C</w:t>
      </w:r>
      <w:r w:rsidR="00D538BC" w:rsidRPr="00D538BC">
        <w:t>ourt had thwarted Roosevelt’s plans and therefore needed to be changed in his favor.</w:t>
      </w:r>
      <w:r w:rsidR="00D538BC">
        <w:t xml:space="preserve"> What Roosevelt wanted was a “thumping New Dealer</w:t>
      </w:r>
      <w:r w:rsidR="000421F4">
        <w:t>,</w:t>
      </w:r>
      <w:r w:rsidR="00D538BC">
        <w:t>”</w:t>
      </w:r>
      <w:r w:rsidR="000421F4">
        <w:t xml:space="preserve"> a quality he believed he found in Black.</w:t>
      </w:r>
      <w:r w:rsidR="002804EB">
        <w:rPr>
          <w:rStyle w:val="FootnoteReference"/>
        </w:rPr>
        <w:footnoteReference w:id="196"/>
      </w:r>
      <w:r>
        <w:t xml:space="preserve"> </w:t>
      </w:r>
    </w:p>
    <w:p w:rsidR="00D474BA" w:rsidRDefault="008446CC" w:rsidP="009B50E7">
      <w:pPr>
        <w:tabs>
          <w:tab w:val="left" w:pos="720"/>
        </w:tabs>
        <w:spacing w:line="480" w:lineRule="auto"/>
        <w:contextualSpacing/>
      </w:pPr>
      <w:r>
        <w:tab/>
        <w:t xml:space="preserve">Black </w:t>
      </w:r>
      <w:r w:rsidR="00B71C70">
        <w:t>is generally considered a textualist and not an originalist</w:t>
      </w:r>
      <w:r w:rsidR="004D4EAE">
        <w:t>,</w:t>
      </w:r>
      <w:r w:rsidR="00B71C70">
        <w:t xml:space="preserve"> though he often cited history in support of his literal readings of the Constitution and its Amendments.</w:t>
      </w:r>
      <w:r w:rsidR="002804EB">
        <w:rPr>
          <w:rStyle w:val="FootnoteReference"/>
        </w:rPr>
        <w:footnoteReference w:id="197"/>
      </w:r>
      <w:r w:rsidR="00A2459C">
        <w:t xml:space="preserve"> </w:t>
      </w:r>
      <w:r w:rsidR="00682785">
        <w:t xml:space="preserve">Under normal circumstances, </w:t>
      </w:r>
      <w:r w:rsidR="000421F4">
        <w:t>h</w:t>
      </w:r>
      <w:r>
        <w:t>e</w:t>
      </w:r>
      <w:r w:rsidR="00682785">
        <w:t xml:space="preserve"> was a member of what Justice Felix Frankfurter called the liberal axis of the court.</w:t>
      </w:r>
      <w:r w:rsidR="00682785">
        <w:rPr>
          <w:rStyle w:val="FootnoteReference"/>
        </w:rPr>
        <w:footnoteReference w:id="198"/>
      </w:r>
      <w:r w:rsidR="00682785">
        <w:t xml:space="preserve"> Dissent to a Black opinion was more likely to arise from the conservative wing </w:t>
      </w:r>
      <w:r>
        <w:t>of the Court, for example</w:t>
      </w:r>
      <w:r w:rsidR="00682785">
        <w:t xml:space="preserve"> Justices Frankfurter or Jackson</w:t>
      </w:r>
      <w:r>
        <w:t>.</w:t>
      </w:r>
      <w:r w:rsidR="00A929C3">
        <w:t xml:space="preserve"> </w:t>
      </w:r>
      <w:r>
        <w:t>I</w:t>
      </w:r>
      <w:r w:rsidR="00A929C3">
        <w:t xml:space="preserve">n this case, Jackson wrote a dissent to Black’s majority opinion; however, it was Justice Wiley </w:t>
      </w:r>
      <w:r w:rsidR="00A929C3">
        <w:lastRenderedPageBreak/>
        <w:t xml:space="preserve">Rutledge, one of the more liberal justices, who wrote the dissent that draws heavily on James Madison’s </w:t>
      </w:r>
      <w:r w:rsidR="00A929C3" w:rsidRPr="002804EB">
        <w:rPr>
          <w:i/>
        </w:rPr>
        <w:t>Memorial and Remonstrance</w:t>
      </w:r>
      <w:r w:rsidR="00A929C3">
        <w:t xml:space="preserve">. </w:t>
      </w:r>
      <w:r w:rsidR="00A2308C">
        <w:t>While many people believe that Black was the prime motivator for looking at Madison’s writings and historical context, Donald Drakeman suggests that “</w:t>
      </w:r>
      <w:r w:rsidR="00A2308C" w:rsidRPr="00A2308C">
        <w:t xml:space="preserve">Black was not the Court's historian-in-chief in </w:t>
      </w:r>
      <w:r w:rsidR="00A2308C" w:rsidRPr="00BC670B">
        <w:rPr>
          <w:i/>
        </w:rPr>
        <w:t>Everson</w:t>
      </w:r>
      <w:r w:rsidR="00A2308C" w:rsidRPr="00A2308C">
        <w:t>; in fact, he was reluctantly dragged into eighteenth-century</w:t>
      </w:r>
      <w:r w:rsidR="00A2308C" w:rsidRPr="00A2308C">
        <w:rPr>
          <w:rFonts w:ascii="Code" w:hAnsi="Code" w:cs="Code"/>
          <w:color w:val="000000"/>
          <w:sz w:val="18"/>
          <w:szCs w:val="18"/>
        </w:rPr>
        <w:t xml:space="preserve"> </w:t>
      </w:r>
      <w:r w:rsidR="00A2308C" w:rsidRPr="00A2308C">
        <w:t>arcana by Justic</w:t>
      </w:r>
      <w:r w:rsidR="00A2308C">
        <w:t>e—and</w:t>
      </w:r>
      <w:r w:rsidR="00A2308C" w:rsidRPr="00A2308C">
        <w:t xml:space="preserve"> former law professo</w:t>
      </w:r>
      <w:r w:rsidR="00A2308C">
        <w:t>r—Wiley</w:t>
      </w:r>
      <w:r w:rsidR="00A2308C" w:rsidRPr="00A2308C">
        <w:t xml:space="preserve"> Rutledge.</w:t>
      </w:r>
      <w:r w:rsidR="00A2308C">
        <w:t>”</w:t>
      </w:r>
      <w:r w:rsidR="00A2308C">
        <w:rPr>
          <w:rStyle w:val="FootnoteReference"/>
        </w:rPr>
        <w:footnoteReference w:id="199"/>
      </w:r>
    </w:p>
    <w:p w:rsidR="00F83D32" w:rsidRDefault="00A2308C" w:rsidP="009B50E7">
      <w:pPr>
        <w:tabs>
          <w:tab w:val="left" w:pos="720"/>
        </w:tabs>
        <w:spacing w:line="480" w:lineRule="auto"/>
        <w:contextualSpacing/>
      </w:pPr>
      <w:r>
        <w:tab/>
      </w:r>
    </w:p>
    <w:p w:rsidR="00755061" w:rsidRDefault="00F83D32" w:rsidP="00992831">
      <w:pPr>
        <w:tabs>
          <w:tab w:val="left" w:pos="720"/>
        </w:tabs>
        <w:spacing w:line="480" w:lineRule="auto"/>
        <w:contextualSpacing/>
        <w:jc w:val="center"/>
      </w:pPr>
      <w:r w:rsidRPr="00755061">
        <w:rPr>
          <w:b/>
          <w:u w:val="single"/>
        </w:rPr>
        <w:t>Black</w:t>
      </w:r>
      <w:r w:rsidR="00BE12A7">
        <w:rPr>
          <w:b/>
          <w:u w:val="single"/>
        </w:rPr>
        <w:t xml:space="preserve">, Rutledge, and Madison in </w:t>
      </w:r>
      <w:r w:rsidR="00BE12A7" w:rsidRPr="00BE12A7">
        <w:rPr>
          <w:b/>
          <w:i/>
          <w:u w:val="single"/>
        </w:rPr>
        <w:t>Everson</w:t>
      </w:r>
      <w:r w:rsidR="00C136EB">
        <w:rPr>
          <w:rStyle w:val="FootnoteReference"/>
          <w:b/>
          <w:i/>
          <w:u w:val="single"/>
        </w:rPr>
        <w:footnoteReference w:id="200"/>
      </w:r>
    </w:p>
    <w:p w:rsidR="00947128" w:rsidRDefault="00947128" w:rsidP="009B50E7">
      <w:pPr>
        <w:tabs>
          <w:tab w:val="left" w:pos="720"/>
        </w:tabs>
        <w:spacing w:line="480" w:lineRule="auto"/>
        <w:contextualSpacing/>
      </w:pPr>
    </w:p>
    <w:p w:rsidR="00BE12A7" w:rsidRDefault="00BE12A7" w:rsidP="009B50E7">
      <w:pPr>
        <w:tabs>
          <w:tab w:val="left" w:pos="720"/>
        </w:tabs>
        <w:spacing w:line="480" w:lineRule="auto"/>
        <w:contextualSpacing/>
      </w:pPr>
      <w:r>
        <w:tab/>
      </w:r>
      <w:r w:rsidR="00E22940">
        <w:t xml:space="preserve">Both Justices Black and Rutledge reference the writings of James Madison and specifically his </w:t>
      </w:r>
      <w:r w:rsidR="00E22940" w:rsidRPr="00E22940">
        <w:rPr>
          <w:i/>
        </w:rPr>
        <w:t>Memorial and Remonstrance</w:t>
      </w:r>
      <w:r w:rsidR="009C3437">
        <w:t xml:space="preserve"> to support their conclusions. Black begins</w:t>
      </w:r>
      <w:r w:rsidR="00DA0A56">
        <w:t xml:space="preserve"> with</w:t>
      </w:r>
      <w:r w:rsidR="009C3437">
        <w:t xml:space="preserve"> an examination of the historical aspects by expressing </w:t>
      </w:r>
      <w:r w:rsidR="004D4EAE">
        <w:t>his</w:t>
      </w:r>
      <w:r w:rsidR="009C3437">
        <w:t xml:space="preserve"> opinion that the culture of 1947 is far enough removed from that of Madison’s time that the people in 1947 may not fully appreciate the need for a separation of church and state. He then covers, though not perfectly, some of the colonial history of the country and some of the other historical issues that lead up to Madison’s expressions in the </w:t>
      </w:r>
      <w:r w:rsidR="009C3437" w:rsidRPr="009C3437">
        <w:rPr>
          <w:i/>
        </w:rPr>
        <w:t>Memorial</w:t>
      </w:r>
      <w:r w:rsidR="009C3437">
        <w:t>. Rutledge, for his part, develops the Madison</w:t>
      </w:r>
      <w:r w:rsidR="00813517">
        <w:t>ian</w:t>
      </w:r>
      <w:r w:rsidR="009C3437">
        <w:t xml:space="preserve"> argument further than does Black. Both come to conclusions that appear to be polar opposites.</w:t>
      </w:r>
    </w:p>
    <w:p w:rsidR="009C3437" w:rsidRDefault="009C3437" w:rsidP="009B50E7">
      <w:pPr>
        <w:tabs>
          <w:tab w:val="left" w:pos="720"/>
        </w:tabs>
        <w:spacing w:line="480" w:lineRule="auto"/>
        <w:contextualSpacing/>
      </w:pPr>
      <w:r>
        <w:tab/>
      </w:r>
      <w:r w:rsidR="005F7865">
        <w:t xml:space="preserve">After his introduction, Black turns his attention to Virginia. He expresses the belief that the people of Virginia concluded that “individual religious liberty could be </w:t>
      </w:r>
      <w:r w:rsidR="005F7865">
        <w:lastRenderedPageBreak/>
        <w:t>achieved best under a government which was stripped of all power to tax, support, or otherwise assist any or all religions, or to interfere with the beliefs of any religious individual or group.”</w:t>
      </w:r>
      <w:r w:rsidR="005F7865">
        <w:rPr>
          <w:rStyle w:val="FootnoteReference"/>
        </w:rPr>
        <w:footnoteReference w:id="201"/>
      </w:r>
      <w:r w:rsidR="00BD1752">
        <w:t xml:space="preserve"> It is in this atmosphere, Black contends, that James Madison wrote his </w:t>
      </w:r>
      <w:r w:rsidR="00BD1752" w:rsidRPr="00BD1752">
        <w:rPr>
          <w:i/>
        </w:rPr>
        <w:t>Memorial and Remonstrance</w:t>
      </w:r>
      <w:r w:rsidR="00BD1752">
        <w:t xml:space="preserve">. </w:t>
      </w:r>
      <w:r w:rsidR="000703DC">
        <w:t xml:space="preserve">He notes four points that </w:t>
      </w:r>
      <w:r w:rsidR="00DE75BD">
        <w:t>Madison ma</w:t>
      </w:r>
      <w:r w:rsidR="00813517">
        <w:t>de</w:t>
      </w:r>
      <w:r w:rsidR="00DE75BD">
        <w:t>. First, that a “true religion did not need support of law,” next, that “no person, either believer or non-believer, should be taxed to support a religious institution of any kind,” third, that “the best interest of society required that the minds of men always be wholly free,” and last, that “cruel persecutions were the inevitable result of government-established religions.”</w:t>
      </w:r>
      <w:r w:rsidR="00DE75BD">
        <w:rPr>
          <w:rStyle w:val="FootnoteReference"/>
        </w:rPr>
        <w:footnoteReference w:id="202"/>
      </w:r>
    </w:p>
    <w:p w:rsidR="0040626F" w:rsidRDefault="0040626F" w:rsidP="009B50E7">
      <w:pPr>
        <w:tabs>
          <w:tab w:val="left" w:pos="720"/>
        </w:tabs>
        <w:spacing w:line="480" w:lineRule="auto"/>
        <w:contextualSpacing/>
      </w:pPr>
      <w:r>
        <w:tab/>
        <w:t xml:space="preserve">In turning to the </w:t>
      </w:r>
      <w:r w:rsidRPr="00FF33D1">
        <w:rPr>
          <w:i/>
        </w:rPr>
        <w:t>Memorial and Remonstrance</w:t>
      </w:r>
      <w:r w:rsidR="00FF33D1">
        <w:t xml:space="preserve"> each of these points are easily identifiable. As to the first point, in paragraph six, Madison states that “Religion both existed and flourished, not only without the support of human laws, but in spite of every opposition from them.” In the second point we find an answer in paragraph three where Madison points out that if the government can force a person to pay even a small tax for “the support of any one establishment,” then it can force them to conform to any establishment as well. The third point is represented in several places. In paragraph one he states that men have an “un</w:t>
      </w:r>
      <w:r w:rsidR="009533F9">
        <w:t>alienable right” to depend on only the “evidence contemplated by their own minds,” paragraph four states that “equal freedom” must be given to those whose minds have “not yielded to the evidence which has convinced us</w:t>
      </w:r>
      <w:r w:rsidR="0008494F">
        <w:t>.</w:t>
      </w:r>
      <w:r w:rsidR="009533F9">
        <w:t>”</w:t>
      </w:r>
      <w:r w:rsidR="0008494F">
        <w:t xml:space="preserve"> The fourth point is addressed in paragraph eleven where Madison makes the statement </w:t>
      </w:r>
      <w:r w:rsidR="0008494F">
        <w:lastRenderedPageBreak/>
        <w:t>that “torrents of blood have been spilt in the old world, by vain attempts of the secular arm to extinguish Religious discord.”</w:t>
      </w:r>
      <w:r w:rsidR="0008494F">
        <w:rPr>
          <w:rStyle w:val="FootnoteReference"/>
        </w:rPr>
        <w:footnoteReference w:id="203"/>
      </w:r>
      <w:r w:rsidR="0008494F">
        <w:t xml:space="preserve"> </w:t>
      </w:r>
    </w:p>
    <w:p w:rsidR="005B596F" w:rsidRDefault="00A70D5C" w:rsidP="009B50E7">
      <w:pPr>
        <w:tabs>
          <w:tab w:val="left" w:pos="720"/>
        </w:tabs>
        <w:spacing w:line="480" w:lineRule="auto"/>
        <w:contextualSpacing/>
      </w:pPr>
      <w:r>
        <w:tab/>
        <w:t xml:space="preserve">Justice Rutledge digs a little deeper into Madison’s </w:t>
      </w:r>
      <w:r w:rsidRPr="00A70D5C">
        <w:rPr>
          <w:i/>
        </w:rPr>
        <w:t>Memorial and Remonstrance</w:t>
      </w:r>
      <w:r>
        <w:t>.</w:t>
      </w:r>
      <w:r w:rsidR="00C136EB">
        <w:t xml:space="preserve"> He frames Madison’s purpose in the First Amendment as being “a complete and permanent separation of the spheres of religious activity and civil authority . . . forbidding every form of aid or support for religion.”</w:t>
      </w:r>
      <w:r w:rsidR="00C136EB">
        <w:rPr>
          <w:rStyle w:val="FootnoteReference"/>
        </w:rPr>
        <w:footnoteReference w:id="204"/>
      </w:r>
      <w:r w:rsidR="00C136EB">
        <w:t xml:space="preserve"> </w:t>
      </w:r>
      <w:r w:rsidR="001B6088">
        <w:t>He states first that Madison indicates that the struggle for religious freedom was “the crux of the struggle for freedom in general.”</w:t>
      </w:r>
      <w:r w:rsidR="001B6088">
        <w:rPr>
          <w:rStyle w:val="FootnoteReference"/>
        </w:rPr>
        <w:footnoteReference w:id="205"/>
      </w:r>
      <w:r w:rsidR="001B6088">
        <w:t xml:space="preserve"> He accepts the </w:t>
      </w:r>
      <w:r w:rsidR="001B6088" w:rsidRPr="00865794">
        <w:rPr>
          <w:i/>
        </w:rPr>
        <w:t>Memorial and Remonstrance</w:t>
      </w:r>
      <w:r w:rsidR="001B6088">
        <w:t xml:space="preserve"> as being “the most concise and the most accurate statement of the views of [James Madison] concerning what is an establishment of religion.”</w:t>
      </w:r>
      <w:r w:rsidR="001B6088">
        <w:rPr>
          <w:rStyle w:val="FootnoteReference"/>
        </w:rPr>
        <w:footnoteReference w:id="206"/>
      </w:r>
      <w:r w:rsidR="001B6088">
        <w:t xml:space="preserve"> </w:t>
      </w:r>
      <w:r w:rsidR="005C3A37">
        <w:t xml:space="preserve">Rutledge notes the following points, that religion was wholly a private matter beyond the scope of civil authority, “denial or abridgment of religious freedom was a violation </w:t>
      </w:r>
      <w:r w:rsidR="00813517">
        <w:t xml:space="preserve">of </w:t>
      </w:r>
      <w:r w:rsidR="005C3A37">
        <w:t xml:space="preserve">rights both of conscience and of natural equality,” that “state aid was no less obnoxious or destructive to freedom and to religion itself than other forms of state interference,” that “Establishment” and “free exercise” were different facets </w:t>
      </w:r>
      <w:r w:rsidR="005B3083">
        <w:t>of a “single great and fundamental freedom</w:t>
      </w:r>
      <w:r w:rsidR="005B596F">
        <w:t>, and that to “tolerate any fragment of establishment would be so much to perpetuate restraint upon that (free exercise) freedom</w:t>
      </w:r>
      <w:r w:rsidR="005B3083">
        <w:t>.”</w:t>
      </w:r>
      <w:r w:rsidR="005B3083">
        <w:rPr>
          <w:rStyle w:val="FootnoteReference"/>
        </w:rPr>
        <w:footnoteReference w:id="207"/>
      </w:r>
      <w:r w:rsidR="005C3A37">
        <w:t xml:space="preserve"> </w:t>
      </w:r>
    </w:p>
    <w:p w:rsidR="00F17668" w:rsidRDefault="005B596F" w:rsidP="009B50E7">
      <w:pPr>
        <w:tabs>
          <w:tab w:val="left" w:pos="720"/>
        </w:tabs>
        <w:spacing w:line="480" w:lineRule="auto"/>
        <w:contextualSpacing/>
      </w:pPr>
      <w:r>
        <w:tab/>
        <w:t xml:space="preserve">As with Justice Black’s observations concerning the </w:t>
      </w:r>
      <w:r w:rsidRPr="00865794">
        <w:rPr>
          <w:i/>
        </w:rPr>
        <w:t>Memorial and Remonstrance</w:t>
      </w:r>
      <w:r>
        <w:t>, Rutledge’s statements concerning the document are supported</w:t>
      </w:r>
      <w:r w:rsidR="00865794">
        <w:t xml:space="preserve"> in</w:t>
      </w:r>
      <w:r>
        <w:t xml:space="preserve"> its text. Each of the above items are either direct statements made by Madison or conclusions that </w:t>
      </w:r>
      <w:r>
        <w:lastRenderedPageBreak/>
        <w:t>may be drawn from Madison’s words; however</w:t>
      </w:r>
      <w:r w:rsidRPr="00A22129">
        <w:t xml:space="preserve">, there is one point Rutledge focuses on. He states that “in no phase was [Madison] more </w:t>
      </w:r>
      <w:r w:rsidR="00E64677" w:rsidRPr="00A22129">
        <w:t>unrelentingly absolute than in opposing state support by aid or taxation.</w:t>
      </w:r>
      <w:r w:rsidR="0080231A" w:rsidRPr="00A22129">
        <w:t>”</w:t>
      </w:r>
      <w:r w:rsidR="0080231A" w:rsidRPr="00A22129">
        <w:rPr>
          <w:rStyle w:val="FootnoteReference"/>
        </w:rPr>
        <w:footnoteReference w:id="208"/>
      </w:r>
      <w:r w:rsidR="00E64677">
        <w:t xml:space="preserve"> </w:t>
      </w:r>
      <w:r w:rsidR="00D8084C">
        <w:t>Justice Black also focuses on the taxation issue and t</w:t>
      </w:r>
      <w:r w:rsidR="00E64677">
        <w:t xml:space="preserve">his is the matter on which this case turns. </w:t>
      </w:r>
    </w:p>
    <w:p w:rsidR="00A70D5C" w:rsidRDefault="00F17668" w:rsidP="009B50E7">
      <w:pPr>
        <w:tabs>
          <w:tab w:val="left" w:pos="720"/>
        </w:tabs>
        <w:spacing w:line="480" w:lineRule="auto"/>
        <w:contextualSpacing/>
      </w:pPr>
      <w:r>
        <w:tab/>
      </w:r>
      <w:r w:rsidR="00E64677">
        <w:t xml:space="preserve">Returning to the questions posed at the beginning of this chapter, </w:t>
      </w:r>
      <w:r w:rsidR="0080231A" w:rsidRPr="0080231A">
        <w:t>does the legislation prescribe religious orthodoxy</w:t>
      </w:r>
      <w:r w:rsidR="00957FDD">
        <w:t>?</w:t>
      </w:r>
      <w:r w:rsidR="0080231A" w:rsidRPr="0080231A">
        <w:t xml:space="preserve"> </w:t>
      </w:r>
      <w:r w:rsidR="00957FDD">
        <w:t>D</w:t>
      </w:r>
      <w:r w:rsidR="0080231A" w:rsidRPr="0080231A">
        <w:t xml:space="preserve">oes </w:t>
      </w:r>
      <w:r w:rsidR="00957FDD">
        <w:t>it</w:t>
      </w:r>
      <w:r w:rsidR="0080231A" w:rsidRPr="0080231A">
        <w:t xml:space="preserve"> place any one religion, or sect of religion, over another</w:t>
      </w:r>
      <w:r w:rsidR="00957FDD">
        <w:t xml:space="preserve"> or</w:t>
      </w:r>
      <w:r w:rsidR="0080231A" w:rsidRPr="0080231A">
        <w:t xml:space="preserve"> does the legislation force any person to pay taxes supporting, or promoting one sect or religion in opposition to that person’s beliefs</w:t>
      </w:r>
      <w:r w:rsidR="00957FDD">
        <w:t>?</w:t>
      </w:r>
      <w:r w:rsidR="00D64834">
        <w:t xml:space="preserve"> I</w:t>
      </w:r>
      <w:r w:rsidR="00E64677">
        <w:t xml:space="preserve">t </w:t>
      </w:r>
      <w:r w:rsidR="0080231A">
        <w:t>cannot</w:t>
      </w:r>
      <w:r w:rsidR="00E64677">
        <w:t xml:space="preserve"> be said that the New Jersey law might in any way prevent a person from worshiping God (or not worshiping God) in the manner he or she believes is correct or orthodox.</w:t>
      </w:r>
      <w:r w:rsidR="005B596F">
        <w:t xml:space="preserve"> </w:t>
      </w:r>
      <w:r w:rsidR="00E64677">
        <w:t>It does not in any way prescribe what is or is not orthodox no</w:t>
      </w:r>
      <w:r>
        <w:t>r</w:t>
      </w:r>
      <w:r w:rsidR="00E64677">
        <w:t xml:space="preserve"> does it set one religion or sect as the one favored by government in exclusion of all else. As to the second question, an argument could be made as to one sect, Catholics, receiving </w:t>
      </w:r>
      <w:r w:rsidR="00E64677" w:rsidRPr="00E64677">
        <w:t>emoluments and privileges</w:t>
      </w:r>
      <w:r w:rsidR="00E64677">
        <w:t xml:space="preserve"> that were not available to others. </w:t>
      </w:r>
      <w:r w:rsidR="007232CF">
        <w:t>Would paying bus fares tend towards religious factionalism? In this case</w:t>
      </w:r>
      <w:r w:rsidR="009E04DB">
        <w:t xml:space="preserve"> the Catholic schools received no direct payments</w:t>
      </w:r>
      <w:r w:rsidR="00D64834">
        <w:t>,</w:t>
      </w:r>
      <w:r w:rsidR="006F4B23">
        <w:t xml:space="preserve"> and</w:t>
      </w:r>
      <w:r w:rsidR="007232CF">
        <w:t xml:space="preserve"> it is highly unlikely that this form of “aid” might tend to excite religious tensions. Additionally,</w:t>
      </w:r>
      <w:r w:rsidR="006F4B23">
        <w:t xml:space="preserve"> there is no indication that the language of the township’s resolution was exclusionary of other religions or simply inclusionary of those who the town knew were seeking aid.</w:t>
      </w:r>
      <w:r w:rsidR="007232CF">
        <w:t xml:space="preserve"> While the choice of language is unfortunate, it is unlikely that the township purposefully excluded Protestants and those of other religions in an effort to show preference in religious sects.</w:t>
      </w:r>
      <w:r w:rsidR="006F4B23">
        <w:t xml:space="preserve"> </w:t>
      </w:r>
      <w:r w:rsidR="00D8084C">
        <w:t xml:space="preserve">Justice Rutledge touches on this point but since there are no </w:t>
      </w:r>
      <w:r w:rsidR="0080231A">
        <w:t>persons of other religious persuasions involved</w:t>
      </w:r>
      <w:r w:rsidR="00D8084C">
        <w:t xml:space="preserve"> in the suit</w:t>
      </w:r>
      <w:r w:rsidR="0080231A">
        <w:t>,</w:t>
      </w:r>
      <w:r w:rsidR="00D8084C">
        <w:t xml:space="preserve"> alleging exclusion</w:t>
      </w:r>
      <w:r w:rsidR="0080231A">
        <w:t>, he</w:t>
      </w:r>
      <w:r w:rsidR="00D8084C">
        <w:t xml:space="preserve"> does not pursue the thought. </w:t>
      </w:r>
      <w:r w:rsidR="00865794">
        <w:lastRenderedPageBreak/>
        <w:t>However, if the language was found to be exclusionary</w:t>
      </w:r>
      <w:r w:rsidR="00D64834">
        <w:t>,</w:t>
      </w:r>
      <w:r w:rsidR="00865794">
        <w:t xml:space="preserve"> then the resolution fails the First Amendment test and must be rejected. </w:t>
      </w:r>
      <w:r w:rsidR="006F4B23">
        <w:t>The question</w:t>
      </w:r>
      <w:r w:rsidR="007232CF">
        <w:t xml:space="preserve"> then,</w:t>
      </w:r>
      <w:r w:rsidR="006F4B23">
        <w:t xml:space="preserve"> that must be considered in this case</w:t>
      </w:r>
      <w:r w:rsidR="007232CF">
        <w:t>,</w:t>
      </w:r>
      <w:r w:rsidR="006F4B23">
        <w:t xml:space="preserve"> is the third question as to whether tax raised funds were used in support of religion.</w:t>
      </w:r>
      <w:r w:rsidR="00865794">
        <w:t xml:space="preserve"> </w:t>
      </w:r>
    </w:p>
    <w:p w:rsidR="009B50E7" w:rsidRDefault="006F4B23" w:rsidP="009B50E7">
      <w:pPr>
        <w:tabs>
          <w:tab w:val="left" w:pos="720"/>
        </w:tabs>
        <w:spacing w:line="480" w:lineRule="auto"/>
        <w:contextualSpacing/>
      </w:pPr>
      <w:r>
        <w:tab/>
      </w:r>
      <w:r w:rsidR="007232CF">
        <w:t>This is precisely the argument that Justice Rutledge is making concerning this law</w:t>
      </w:r>
      <w:r w:rsidR="00045F0C">
        <w:t xml:space="preserve">. </w:t>
      </w:r>
      <w:r w:rsidR="009A1DE9">
        <w:t xml:space="preserve">In his estimation, </w:t>
      </w:r>
      <w:r w:rsidR="00E76317">
        <w:t>transportation to and from a school is part and parcel of an education, the two cannot be separated.</w:t>
      </w:r>
      <w:r w:rsidR="00E00F18">
        <w:rPr>
          <w:rStyle w:val="FootnoteReference"/>
        </w:rPr>
        <w:footnoteReference w:id="209"/>
      </w:r>
      <w:r w:rsidR="00E76317">
        <w:t xml:space="preserve"> There can be no education unless the teacher and the pupil are brought together into one place where instruction can take place.</w:t>
      </w:r>
      <w:r w:rsidR="00C1013D">
        <w:rPr>
          <w:rStyle w:val="FootnoteReference"/>
        </w:rPr>
        <w:footnoteReference w:id="210"/>
      </w:r>
      <w:r w:rsidR="00E76317">
        <w:t xml:space="preserve"> Further, the government already provides the public benefit in that it provides public schools and transportation to them. In this the requirements for compulsory education are satisfied. For Rutledge, those who have chosen to enroll their children in a private parochial school do so for strictly religious reasons.</w:t>
      </w:r>
      <w:r w:rsidR="00C1013D">
        <w:rPr>
          <w:rStyle w:val="FootnoteReference"/>
        </w:rPr>
        <w:footnoteReference w:id="211"/>
      </w:r>
      <w:r w:rsidR="00E76317">
        <w:t xml:space="preserve"> Since they have available alternatives in the form of public education</w:t>
      </w:r>
      <w:r w:rsidR="00D64834">
        <w:t>,</w:t>
      </w:r>
      <w:r w:rsidR="00E76317">
        <w:t xml:space="preserve"> then they </w:t>
      </w:r>
      <w:r w:rsidR="0080231A">
        <w:t>cannot</w:t>
      </w:r>
      <w:r w:rsidR="00E76317">
        <w:t xml:space="preserve"> claim the public benefit. </w:t>
      </w:r>
      <w:r w:rsidR="00C1013D">
        <w:t>In Justice Rutledge’s mind, f</w:t>
      </w:r>
      <w:r w:rsidR="00E76317">
        <w:t>or these people to receive reimbursement for their transportation costs is exactly</w:t>
      </w:r>
      <w:r w:rsidR="00C1013D">
        <w:t xml:space="preserve"> the definition of</w:t>
      </w:r>
      <w:r w:rsidR="00E76317">
        <w:t xml:space="preserve"> taking tax raised funds and using them to aid and support religion.</w:t>
      </w:r>
      <w:r w:rsidR="000A5AB8">
        <w:t xml:space="preserve"> He falls upon Madison’s three pence argument to lay claim that this is the first step on a slippery slope that will lead to religious groups clamoring for a piece of the government pie in which the “dominating group will achieve dominant benefit,” leading eventually to the state becoming embroiled “in their dissensions.”</w:t>
      </w:r>
      <w:r w:rsidR="000A5AB8">
        <w:rPr>
          <w:rStyle w:val="FootnoteReference"/>
        </w:rPr>
        <w:footnoteReference w:id="212"/>
      </w:r>
      <w:r w:rsidR="000A5AB8">
        <w:t xml:space="preserve"> </w:t>
      </w:r>
    </w:p>
    <w:p w:rsidR="00E76317" w:rsidRDefault="00E76317" w:rsidP="009B50E7">
      <w:pPr>
        <w:tabs>
          <w:tab w:val="left" w:pos="720"/>
        </w:tabs>
        <w:spacing w:line="480" w:lineRule="auto"/>
        <w:contextualSpacing/>
      </w:pPr>
      <w:r>
        <w:tab/>
        <w:t>Justice Black ha</w:t>
      </w:r>
      <w:r w:rsidR="000A5AB8">
        <w:t>d</w:t>
      </w:r>
      <w:r>
        <w:t xml:space="preserve"> a different opinion. </w:t>
      </w:r>
      <w:r w:rsidR="00967820">
        <w:t>Black began by recognizing the state’s public purpose in transporting students to and from school and the state’s right to decide that public purpose. Black therefore limits the argument to the First Amendment. His s</w:t>
      </w:r>
      <w:r w:rsidR="00904812">
        <w:t>aw</w:t>
      </w:r>
      <w:r w:rsidR="00967820">
        <w:t xml:space="preserve"> </w:t>
      </w:r>
      <w:r w:rsidR="00967820">
        <w:lastRenderedPageBreak/>
        <w:t>the question before him in two respects where reimbursement to parents of children attending parochial school are concerned, first that the state takes by taxation the personal private property of some and bestows it on another for their private use. This part has a due process claim on it and is one that Justice</w:t>
      </w:r>
      <w:r w:rsidR="00CF79ED">
        <w:t xml:space="preserve"> Black</w:t>
      </w:r>
      <w:r w:rsidR="00B47093">
        <w:t xml:space="preserve">, while recognizing its existence, essentially </w:t>
      </w:r>
      <w:r w:rsidR="00967820">
        <w:t>passes over.</w:t>
      </w:r>
      <w:r w:rsidR="00357CC8">
        <w:t xml:space="preserve"> The second is the First Amendme</w:t>
      </w:r>
      <w:r w:rsidR="004A131B">
        <w:t xml:space="preserve">nt argument. </w:t>
      </w:r>
      <w:r w:rsidR="00916F28">
        <w:t>He frame</w:t>
      </w:r>
      <w:r w:rsidR="00D8084C">
        <w:t>d</w:t>
      </w:r>
      <w:r w:rsidR="00916F28">
        <w:t xml:space="preserve"> this argument </w:t>
      </w:r>
      <w:r w:rsidR="00F91F0A">
        <w:t xml:space="preserve">as a balance between the fact that New Jersey </w:t>
      </w:r>
      <w:r w:rsidR="00CF79ED">
        <w:t>cannot</w:t>
      </w:r>
      <w:r w:rsidR="00F91F0A">
        <w:t xml:space="preserve"> “contribute tax-raised funds to the support of an institution which teaches the tenants and faith of any church,” and “New Jersey cannot hamper its citizens in the free exercise of their own religion.”</w:t>
      </w:r>
      <w:r w:rsidR="00F91F0A">
        <w:rPr>
          <w:rStyle w:val="FootnoteReference"/>
        </w:rPr>
        <w:footnoteReference w:id="213"/>
      </w:r>
      <w:r w:rsidR="00F91F0A">
        <w:t xml:space="preserve"> </w:t>
      </w:r>
      <w:r w:rsidR="00B47093">
        <w:t>While still maintaining the “impregnable wall” between church and state</w:t>
      </w:r>
      <w:r w:rsidR="00D64834">
        <w:t>,</w:t>
      </w:r>
      <w:r w:rsidR="00645D28">
        <w:t xml:space="preserve"> </w:t>
      </w:r>
      <w:r w:rsidR="00B47093">
        <w:t xml:space="preserve">he dismisses the </w:t>
      </w:r>
      <w:r w:rsidR="00D64834">
        <w:t>c</w:t>
      </w:r>
      <w:r w:rsidR="00B47093">
        <w:t xml:space="preserve">onstitutional issue by </w:t>
      </w:r>
      <w:r w:rsidR="00645D28">
        <w:t>compar</w:t>
      </w:r>
      <w:r w:rsidR="00B47093">
        <w:t>ing</w:t>
      </w:r>
      <w:r w:rsidR="00645D28">
        <w:t xml:space="preserve"> paying for </w:t>
      </w:r>
      <w:r w:rsidR="00DD5F94">
        <w:t xml:space="preserve">student’s </w:t>
      </w:r>
      <w:r w:rsidR="00645D28">
        <w:t>transportation</w:t>
      </w:r>
      <w:r w:rsidR="00DF1D18">
        <w:t xml:space="preserve"> to</w:t>
      </w:r>
      <w:r w:rsidR="00DD5F94">
        <w:t xml:space="preserve"> parochial schools to</w:t>
      </w:r>
      <w:r w:rsidR="00DF1D18">
        <w:t xml:space="preserve"> other services like police protection and fire protection. The concept </w:t>
      </w:r>
      <w:r w:rsidR="00D64834">
        <w:t>was</w:t>
      </w:r>
      <w:r w:rsidR="00DF1D18">
        <w:t xml:space="preserve"> that </w:t>
      </w:r>
      <w:r w:rsidR="008E2088">
        <w:t xml:space="preserve">these are all public services </w:t>
      </w:r>
      <w:r w:rsidR="00DD5F94">
        <w:t xml:space="preserve">of such a general nature, benefiting others outside of religion, </w:t>
      </w:r>
      <w:r w:rsidR="008E2088">
        <w:t>that</w:t>
      </w:r>
      <w:r w:rsidR="00DD5F94">
        <w:t xml:space="preserve"> they</w:t>
      </w:r>
      <w:r w:rsidR="008E2088">
        <w:t xml:space="preserve"> cannot be denied to anyone simply because of their religio</w:t>
      </w:r>
      <w:r w:rsidR="00DD5F94">
        <w:t>us affiliation</w:t>
      </w:r>
      <w:r w:rsidR="008E2088">
        <w:t xml:space="preserve">. </w:t>
      </w:r>
    </w:p>
    <w:p w:rsidR="00DD5F94" w:rsidRPr="008805F7" w:rsidRDefault="00DD5F94" w:rsidP="009B50E7">
      <w:pPr>
        <w:tabs>
          <w:tab w:val="left" w:pos="720"/>
        </w:tabs>
        <w:spacing w:line="480" w:lineRule="auto"/>
        <w:contextualSpacing/>
      </w:pPr>
      <w:r>
        <w:tab/>
        <w:t xml:space="preserve">Both Justices </w:t>
      </w:r>
      <w:r w:rsidR="00957FDD">
        <w:t xml:space="preserve">Rutledge and Black </w:t>
      </w:r>
      <w:r>
        <w:t xml:space="preserve">agree that there is to be no state support of religion. This is an inviolable principle, that for the state to support any one religion, or even all religions, is prohibited by the Establishment Clause. The dichotomy here is in how to define the measure put in place by the township of Ewing. Was the payment of money to parents so that their children might ride public transportation to arrive a </w:t>
      </w:r>
      <w:r w:rsidR="008805F7">
        <w:t>school</w:t>
      </w:r>
      <w:r>
        <w:t xml:space="preserve"> </w:t>
      </w:r>
      <w:r w:rsidR="008805F7">
        <w:t>whose</w:t>
      </w:r>
      <w:r>
        <w:t xml:space="preserve"> primary reason for existence is the teaching of religious centered education to children</w:t>
      </w:r>
      <w:r w:rsidR="008805F7">
        <w:t xml:space="preserve"> support of religion or not? This is the central question of </w:t>
      </w:r>
      <w:r w:rsidR="008805F7" w:rsidRPr="008805F7">
        <w:rPr>
          <w:i/>
        </w:rPr>
        <w:t>Everson</w:t>
      </w:r>
      <w:r w:rsidR="008805F7">
        <w:t>. In this case, textualism cannot provide us the answer we are looking for, we must look to Madison and his cultural outlook.</w:t>
      </w:r>
    </w:p>
    <w:p w:rsidR="001C6372" w:rsidRDefault="008805F7" w:rsidP="001C6372">
      <w:pPr>
        <w:tabs>
          <w:tab w:val="left" w:pos="720"/>
        </w:tabs>
        <w:spacing w:line="480" w:lineRule="auto"/>
        <w:contextualSpacing/>
      </w:pPr>
      <w:r>
        <w:lastRenderedPageBreak/>
        <w:tab/>
        <w:t xml:space="preserve">Returning to the </w:t>
      </w:r>
      <w:r w:rsidRPr="008805F7">
        <w:rPr>
          <w:i/>
        </w:rPr>
        <w:t>Memorial and Remonstrance</w:t>
      </w:r>
      <w:r w:rsidR="00D64834">
        <w:rPr>
          <w:i/>
        </w:rPr>
        <w:t>,</w:t>
      </w:r>
      <w:r>
        <w:t xml:space="preserve"> we must first find out what Madison describes as “support.” </w:t>
      </w:r>
      <w:r w:rsidR="001F52AF">
        <w:t xml:space="preserve">There are two forms that support takes </w:t>
      </w:r>
      <w:r w:rsidR="00AE0261">
        <w:t>in relation to the church and state. One is the support that comes when a government chooses to set one religion as the one that is acceptable to the regime. Political support becomes the foundation upon which the church rests. The other form of support is, as in this case, financial</w:t>
      </w:r>
      <w:r w:rsidR="00904812">
        <w:t xml:space="preserve"> and t</w:t>
      </w:r>
      <w:r>
        <w:t>he</w:t>
      </w:r>
      <w:r w:rsidR="00AE0261">
        <w:t>re are t</w:t>
      </w:r>
      <w:r w:rsidR="00167708">
        <w:t>hree</w:t>
      </w:r>
      <w:r w:rsidR="00AE0261">
        <w:t xml:space="preserve"> </w:t>
      </w:r>
      <w:r w:rsidR="00D64834">
        <w:t>points</w:t>
      </w:r>
      <w:r w:rsidR="00AE0261">
        <w:t xml:space="preserve"> that Madison note</w:t>
      </w:r>
      <w:r w:rsidR="00904812">
        <w:t>d</w:t>
      </w:r>
      <w:r w:rsidR="00AE0261">
        <w:t xml:space="preserve"> as to financial support. The</w:t>
      </w:r>
      <w:r>
        <w:t xml:space="preserve"> </w:t>
      </w:r>
      <w:r w:rsidR="00C10ABD">
        <w:t>first</w:t>
      </w:r>
      <w:r w:rsidR="00AE0261">
        <w:t xml:space="preserve"> is found in his use of</w:t>
      </w:r>
      <w:r w:rsidR="00C10ABD">
        <w:t xml:space="preserve"> the word </w:t>
      </w:r>
      <w:r w:rsidR="00C10ABD" w:rsidRPr="00C10ABD">
        <w:t>emoluments</w:t>
      </w:r>
      <w:r w:rsidR="00C10ABD">
        <w:t>, which according to Webster</w:t>
      </w:r>
      <w:r w:rsidR="00CD5346">
        <w:t>’</w:t>
      </w:r>
      <w:r w:rsidR="00C10ABD">
        <w:t xml:space="preserve">s 1828 dictionary </w:t>
      </w:r>
      <w:r w:rsidR="00AE0261">
        <w:t>is a</w:t>
      </w:r>
      <w:r w:rsidR="00C10ABD">
        <w:t xml:space="preserve"> “</w:t>
      </w:r>
      <w:r w:rsidR="00C10ABD" w:rsidRPr="00C10ABD">
        <w:t>profit arising from office or employment; that which is received as a compensation for services, or which is annexed to the possession of office,</w:t>
      </w:r>
      <w:r w:rsidR="009D7C56">
        <w:t>” such</w:t>
      </w:r>
      <w:r w:rsidR="00C10ABD" w:rsidRPr="00C10ABD">
        <w:t xml:space="preserve"> as salary</w:t>
      </w:r>
      <w:r w:rsidR="00CD5346">
        <w:t xml:space="preserve"> [or] </w:t>
      </w:r>
      <w:r w:rsidR="00C10ABD" w:rsidRPr="00C10ABD">
        <w:t>perquisites</w:t>
      </w:r>
      <w:r w:rsidR="00C10ABD">
        <w:t>.</w:t>
      </w:r>
      <w:r w:rsidR="00C10ABD">
        <w:rPr>
          <w:rStyle w:val="FootnoteReference"/>
        </w:rPr>
        <w:footnoteReference w:id="214"/>
      </w:r>
      <w:r w:rsidR="00AE0261">
        <w:t xml:space="preserve"> Next he used the word endowed, as in “Ought their Religions be endowed above all others</w:t>
      </w:r>
      <w:r w:rsidR="00CF79ED">
        <w:t>,”</w:t>
      </w:r>
      <w:r w:rsidR="00AE0261">
        <w:t xml:space="preserve"> meaning those religions are furnished with something. </w:t>
      </w:r>
      <w:r w:rsidR="00167708">
        <w:t>Then, Madison says that the best state of religion is when its teachers depended on the voluntary rewards of the flock.</w:t>
      </w:r>
      <w:r w:rsidR="00CF79ED">
        <w:rPr>
          <w:rStyle w:val="FootnoteReference"/>
        </w:rPr>
        <w:footnoteReference w:id="215"/>
      </w:r>
      <w:r w:rsidR="00167708">
        <w:t xml:space="preserve"> </w:t>
      </w:r>
      <w:r w:rsidR="00904812">
        <w:t>Taken together, within the context of the document from which they are taken, these points indicate that the financial support concerned here is a direct support of the religion through its official representatives. Rutledge attempts to make the argument that there is a direct support in that if the parents were not reimbursed</w:t>
      </w:r>
      <w:r w:rsidR="00D64834">
        <w:t>,</w:t>
      </w:r>
      <w:r w:rsidR="00904812">
        <w:t xml:space="preserve"> the Catholic </w:t>
      </w:r>
      <w:r w:rsidR="003242B8">
        <w:t>Church</w:t>
      </w:r>
      <w:r w:rsidR="00904812">
        <w:t xml:space="preserve"> would perhaps lose some of its revenue. The only way that revenue stream will flow as robustly is when Catholic parents receive this money. To answer that</w:t>
      </w:r>
      <w:r w:rsidR="00A95D45">
        <w:t xml:space="preserve"> question, we must turn to the cultural context.</w:t>
      </w:r>
    </w:p>
    <w:p w:rsidR="00D64834" w:rsidRDefault="00A95D45" w:rsidP="001C6372">
      <w:pPr>
        <w:tabs>
          <w:tab w:val="left" w:pos="720"/>
        </w:tabs>
        <w:spacing w:line="480" w:lineRule="auto"/>
        <w:contextualSpacing/>
      </w:pPr>
      <w:r>
        <w:tab/>
        <w:t>What were the possible pitfalls that Madison was concerned about when thinking of state support in relation to the church</w:t>
      </w:r>
      <w:r w:rsidR="00D64834">
        <w:t>?</w:t>
      </w:r>
      <w:r>
        <w:t xml:space="preserve"> </w:t>
      </w:r>
      <w:r w:rsidR="00537CB1">
        <w:t xml:space="preserve">One concern is the effect such support would </w:t>
      </w:r>
      <w:r w:rsidR="00537CB1">
        <w:lastRenderedPageBreak/>
        <w:t xml:space="preserve">have on the religion itself. The purity of its doctrine and the efficacy of its ministrations to its adherents would both be compromised; its clergy would become prideful and indolent and its laity ignorant and servile. Bigotry and persecution </w:t>
      </w:r>
      <w:r w:rsidR="000421F4">
        <w:t>we</w:t>
      </w:r>
      <w:r w:rsidR="00537CB1">
        <w:t>re sure to follow.</w:t>
      </w:r>
      <w:r w:rsidR="00537CB1">
        <w:rPr>
          <w:rStyle w:val="FootnoteReference"/>
        </w:rPr>
        <w:footnoteReference w:id="216"/>
      </w:r>
      <w:r w:rsidR="00537CB1">
        <w:t xml:space="preserve"> In the case of the bus fares, w</w:t>
      </w:r>
      <w:r w:rsidR="00537CB1" w:rsidRPr="00537CB1">
        <w:t xml:space="preserve">ould that </w:t>
      </w:r>
      <w:r w:rsidR="00537CB1">
        <w:t>support</w:t>
      </w:r>
      <w:r w:rsidR="00537CB1" w:rsidRPr="00537CB1">
        <w:t xml:space="preserve"> tend to the degradation of the purity of the </w:t>
      </w:r>
      <w:r w:rsidR="00537CB1">
        <w:t>Catholic Church?</w:t>
      </w:r>
      <w:r w:rsidR="00537CB1" w:rsidRPr="00537CB1">
        <w:t xml:space="preserve"> </w:t>
      </w:r>
      <w:r w:rsidR="00537CB1">
        <w:t>W</w:t>
      </w:r>
      <w:r w:rsidR="00537CB1" w:rsidRPr="00537CB1">
        <w:t>ould it tend to the laziness of the priesthood</w:t>
      </w:r>
      <w:r w:rsidR="00537CB1">
        <w:t xml:space="preserve">? </w:t>
      </w:r>
      <w:r w:rsidR="00430A0F">
        <w:t xml:space="preserve">The argument is hard to make. </w:t>
      </w:r>
      <w:r w:rsidR="00DB7021" w:rsidRPr="00DB7021">
        <w:t>The money was given in reimbursement to parents who had expended their own resources on b</w:t>
      </w:r>
      <w:r w:rsidR="00430A0F" w:rsidRPr="00DB7021">
        <w:t>us fare paid to the public carrier who operated the bus lines.</w:t>
      </w:r>
      <w:r w:rsidR="00430A0F">
        <w:t xml:space="preserve"> It is doubtful that any of the bus drivers were giving instruction in Catholic doctrines to the children on the way to school. </w:t>
      </w:r>
    </w:p>
    <w:p w:rsidR="00537CB1" w:rsidRDefault="00D64834" w:rsidP="001C6372">
      <w:pPr>
        <w:tabs>
          <w:tab w:val="left" w:pos="720"/>
        </w:tabs>
        <w:spacing w:line="480" w:lineRule="auto"/>
        <w:contextualSpacing/>
      </w:pPr>
      <w:r>
        <w:tab/>
      </w:r>
      <w:r w:rsidR="00430A0F">
        <w:t xml:space="preserve">The idea of the bus fares being support for the Catholic </w:t>
      </w:r>
      <w:r w:rsidR="003242B8">
        <w:t>Church</w:t>
      </w:r>
      <w:r w:rsidR="00430A0F">
        <w:t xml:space="preserve"> is tenuous at best. If the state were to withdraw all bus fares</w:t>
      </w:r>
      <w:r>
        <w:t>,</w:t>
      </w:r>
      <w:r w:rsidR="00430A0F">
        <w:t xml:space="preserve"> it is unlikely that the demands on the Catholic schools for a quality religious education would have substantially changed. Nor, if the state decided to pay for the fares of all Catholic children across the board</w:t>
      </w:r>
      <w:r w:rsidR="0085064C">
        <w:t xml:space="preserve"> is it likely to have detrimental effects on the laity or clergy as, as the Justice himself pointed out, a Catholic education is one of the demands on the children of Catholic adherents. </w:t>
      </w:r>
      <w:r w:rsidR="00CF79ED">
        <w:t xml:space="preserve">Those who were faithful to the Catholic faith would send their children to a Catholic school regardless of the financial considerations. While it is possible that some </w:t>
      </w:r>
      <w:r w:rsidR="00E5633A">
        <w:t>who were marginal Catholics might possibly withdraw their children due to financial considerations, it is unlikely that the economic benefit derived from those people would be substantial enough to corrupt the priesthood.</w:t>
      </w:r>
    </w:p>
    <w:p w:rsidR="000D03B5" w:rsidRDefault="0085064C" w:rsidP="001C6372">
      <w:pPr>
        <w:tabs>
          <w:tab w:val="left" w:pos="720"/>
        </w:tabs>
        <w:spacing w:line="480" w:lineRule="auto"/>
        <w:contextualSpacing/>
      </w:pPr>
      <w:r>
        <w:tab/>
        <w:t xml:space="preserve">Another concern that Madison expressed is that of established churches supporting tyrannical governments. </w:t>
      </w:r>
      <w:r w:rsidR="00537CB1" w:rsidRPr="00B83DC3">
        <w:t xml:space="preserve">Historical accounts abound with examples in which </w:t>
      </w:r>
      <w:r w:rsidR="00537CB1" w:rsidRPr="00B83DC3">
        <w:lastRenderedPageBreak/>
        <w:t xml:space="preserve">the clergy </w:t>
      </w:r>
      <w:r w:rsidR="00AE3E46" w:rsidRPr="00B83DC3">
        <w:t xml:space="preserve">at the very least </w:t>
      </w:r>
      <w:r w:rsidR="00537CB1" w:rsidRPr="00B83DC3">
        <w:t>adjusted its message in accordance with whichever ruler was in authority at the time</w:t>
      </w:r>
      <w:r w:rsidR="00AE3E46" w:rsidRPr="00B83DC3">
        <w:t xml:space="preserve"> and at the worst supported ruthless rulers for its own benefit</w:t>
      </w:r>
      <w:r w:rsidR="00537CB1" w:rsidRPr="00B83DC3">
        <w:t>.</w:t>
      </w:r>
      <w:r w:rsidR="00E5633A" w:rsidRPr="00B83DC3">
        <w:t xml:space="preserve"> </w:t>
      </w:r>
      <w:r w:rsidR="00DB7021">
        <w:t>As previously noted, for example, John</w:t>
      </w:r>
      <w:r w:rsidR="00B5457B" w:rsidRPr="00B83DC3">
        <w:t xml:space="preserve"> Locke expressly </w:t>
      </w:r>
      <w:r w:rsidR="00DB7021">
        <w:t>stated that</w:t>
      </w:r>
      <w:r w:rsidR="00B5457B" w:rsidRPr="00B83DC3">
        <w:t xml:space="preserve"> the clergy changed its message to be more in keeping with the British Monarchs.</w:t>
      </w:r>
      <w:r w:rsidR="00F936CB">
        <w:rPr>
          <w:rStyle w:val="FootnoteReference"/>
        </w:rPr>
        <w:footnoteReference w:id="217"/>
      </w:r>
      <w:r w:rsidR="00B5457B">
        <w:t xml:space="preserve"> </w:t>
      </w:r>
      <w:r w:rsidR="00D81CA6">
        <w:t xml:space="preserve">Again, thinking of the bus fare situation, </w:t>
      </w:r>
      <w:r w:rsidR="000D03B5" w:rsidRPr="000D03B5">
        <w:t xml:space="preserve">would </w:t>
      </w:r>
      <w:r w:rsidR="00D81CA6">
        <w:t>receiving this benefit</w:t>
      </w:r>
      <w:r w:rsidR="000D03B5" w:rsidRPr="000D03B5">
        <w:t xml:space="preserve"> promote the </w:t>
      </w:r>
      <w:r w:rsidR="00D81CA6">
        <w:t>Catholic</w:t>
      </w:r>
      <w:r w:rsidR="000D03B5" w:rsidRPr="000D03B5">
        <w:t xml:space="preserve"> </w:t>
      </w:r>
      <w:r w:rsidR="00B5457B">
        <w:t>C</w:t>
      </w:r>
      <w:r w:rsidR="00D81CA6">
        <w:t>hurch</w:t>
      </w:r>
      <w:r w:rsidR="000D03B5" w:rsidRPr="000D03B5">
        <w:t xml:space="preserve"> to support a corrupt political regime?</w:t>
      </w:r>
      <w:r w:rsidR="00D81CA6">
        <w:t xml:space="preserve"> Would the Catholic priesthood overlook the vices of a tyrannical government or change their doctrines in response to threats to withdraw the reimbursements? Unlikely. While it is clear that the Catholic </w:t>
      </w:r>
      <w:r w:rsidR="00B5457B">
        <w:t>C</w:t>
      </w:r>
      <w:r w:rsidR="00D81CA6">
        <w:t xml:space="preserve">hurch did not want its members excluded from </w:t>
      </w:r>
      <w:r w:rsidR="00E66E24">
        <w:t>aid</w:t>
      </w:r>
      <w:r w:rsidR="00D81CA6">
        <w:t xml:space="preserve"> that other people were receiving as a matter of public benefit</w:t>
      </w:r>
      <w:r w:rsidR="00E66E24">
        <w:t>,</w:t>
      </w:r>
      <w:r w:rsidR="00D81CA6">
        <w:t xml:space="preserve"> the refusal of the state to support the Catholic claims was not going to alter the nature of the Catholic </w:t>
      </w:r>
      <w:r w:rsidR="00B5457B">
        <w:t>C</w:t>
      </w:r>
      <w:r w:rsidR="00D81CA6">
        <w:t>hurch or its message.</w:t>
      </w:r>
    </w:p>
    <w:p w:rsidR="005F7BD7" w:rsidRDefault="005F7BD7" w:rsidP="001C6372">
      <w:pPr>
        <w:tabs>
          <w:tab w:val="left" w:pos="720"/>
        </w:tabs>
        <w:spacing w:line="480" w:lineRule="auto"/>
        <w:contextualSpacing/>
      </w:pPr>
      <w:r>
        <w:tab/>
      </w:r>
      <w:r w:rsidR="00E00428">
        <w:t>T</w:t>
      </w:r>
      <w:r>
        <w:t>he position that</w:t>
      </w:r>
      <w:r w:rsidR="00E00428">
        <w:t xml:space="preserve"> the bus fares are support of the Catholic schools simply cannot be upheld. No monies pass directly to the schools, there is no chance that because Catholic parents receive the reimbursement the Catholic religion or its participants are going to be degraded, and there is no probability that access to those reimbursements would induce Catholics to support a New Jersey government run amuck. The dangers that Madison sought to redress simply, in this case, do not apply and therefore neither does his “three pence” principle. There is no slippery slope here and no chance that the government of New Jersey will be dictating, at any point in time, what is or is not religiously orthodox</w:t>
      </w:r>
      <w:r>
        <w:t xml:space="preserve"> </w:t>
      </w:r>
      <w:r w:rsidR="00E00428">
        <w:t>to anyon</w:t>
      </w:r>
      <w:r w:rsidR="001E17D3">
        <w:t>e</w:t>
      </w:r>
      <w:r w:rsidR="00E00428">
        <w:t>. The only possible grounds</w:t>
      </w:r>
      <w:r w:rsidR="001E17D3">
        <w:t xml:space="preserve"> for contention in Ewing’s resolution is the fact that it seems</w:t>
      </w:r>
      <w:r w:rsidR="00B5457B">
        <w:t>, by the way it is worded,</w:t>
      </w:r>
      <w:r w:rsidR="001E17D3">
        <w:t xml:space="preserve"> to exclude those of other faiths, but, since the suit was brought by a political activist it stands to reason that if there </w:t>
      </w:r>
      <w:r w:rsidR="001E17D3">
        <w:lastRenderedPageBreak/>
        <w:t>were Protestants</w:t>
      </w:r>
      <w:r w:rsidR="00B5457B">
        <w:t xml:space="preserve"> or those of other faiths</w:t>
      </w:r>
      <w:r w:rsidR="001E17D3">
        <w:t xml:space="preserve"> being excluded, and the question was actually a religious one, then the suit would have brought that to light. No evidence of that nature was forthcoming and none of the Justices indicate that they attempted to research that possibility.</w:t>
      </w:r>
    </w:p>
    <w:p w:rsidR="001E17D3" w:rsidRDefault="001E17D3" w:rsidP="001C6372">
      <w:pPr>
        <w:tabs>
          <w:tab w:val="left" w:pos="720"/>
        </w:tabs>
        <w:spacing w:line="480" w:lineRule="auto"/>
        <w:contextualSpacing/>
      </w:pPr>
      <w:r>
        <w:tab/>
        <w:t>In regards to the primary question as to whether the bus fares went to support religion, Justice Black</w:t>
      </w:r>
      <w:r w:rsidR="00044441">
        <w:t xml:space="preserve">’s </w:t>
      </w:r>
      <w:r>
        <w:t>argument focuses solely on the text and uses the history for supporting character. With somewhat more attention given to Madison’s cultural context there is no question that Black</w:t>
      </w:r>
      <w:r w:rsidR="002326A5">
        <w:t xml:space="preserve"> would have presented a much stronger argument</w:t>
      </w:r>
      <w:r>
        <w:t>. However, there is one point, not related to the main question, that both Black and Rutledge express in their opinions, and as those opinions have bearing on future Supreme Court cases it is necessary to address this point as part of future preceden</w:t>
      </w:r>
      <w:r w:rsidR="00044441">
        <w:t>t</w:t>
      </w:r>
      <w:r>
        <w:t xml:space="preserve">. </w:t>
      </w:r>
    </w:p>
    <w:p w:rsidR="001E17D3" w:rsidRDefault="001E17D3" w:rsidP="001C6372">
      <w:pPr>
        <w:tabs>
          <w:tab w:val="left" w:pos="720"/>
        </w:tabs>
        <w:spacing w:line="480" w:lineRule="auto"/>
        <w:contextualSpacing/>
      </w:pPr>
      <w:r>
        <w:tab/>
      </w:r>
      <w:r w:rsidR="0055318D">
        <w:t>Many people suggest that Black’s opinion as written is accommodationist</w:t>
      </w:r>
      <w:r w:rsidR="008747BA">
        <w:t xml:space="preserve">, it is not. Black’s opinion, as is that of Rutledge, is hard line separationist. Black maintains the purity of his separationist stance by determining, that the bus fares are in no way support for the Catholic </w:t>
      </w:r>
      <w:r w:rsidR="00044441">
        <w:t>C</w:t>
      </w:r>
      <w:r w:rsidR="008747BA">
        <w:t>hurch</w:t>
      </w:r>
      <w:r w:rsidR="002326A5">
        <w:t xml:space="preserve"> but a general government benefit that is available, or at least should be available</w:t>
      </w:r>
      <w:r w:rsidR="00871910">
        <w:t>,</w:t>
      </w:r>
      <w:r w:rsidR="002326A5">
        <w:t xml:space="preserve"> to all</w:t>
      </w:r>
      <w:r w:rsidR="008747BA">
        <w:t xml:space="preserve">. In the process there is something that both Black and Rutledge express in their defense of an impregnable wall between church and state. </w:t>
      </w:r>
      <w:r w:rsidR="002326A5">
        <w:t xml:space="preserve">While both Justices, through their writings, show an awareness that the real issue </w:t>
      </w:r>
      <w:r w:rsidR="00044441">
        <w:t>is</w:t>
      </w:r>
      <w:r w:rsidR="002326A5">
        <w:t xml:space="preserve"> state dominance of religion</w:t>
      </w:r>
      <w:r w:rsidR="00854D63">
        <w:t>, they both couch their arguments in such a way as to portray the real issue as one of the church’s aggression towards and attempts to control the state. This subtly shifts the emphasis from limiting the state in what it can do in regards to religion</w:t>
      </w:r>
      <w:r w:rsidR="00B06CD5">
        <w:t>,</w:t>
      </w:r>
      <w:r w:rsidR="00854D63">
        <w:t xml:space="preserve"> to reining in religion who is greedy to control state power for its own benefit.</w:t>
      </w:r>
    </w:p>
    <w:p w:rsidR="00854D63" w:rsidRDefault="00854D63" w:rsidP="001C6372">
      <w:pPr>
        <w:tabs>
          <w:tab w:val="left" w:pos="720"/>
        </w:tabs>
        <w:spacing w:line="480" w:lineRule="auto"/>
        <w:contextualSpacing/>
      </w:pPr>
      <w:r>
        <w:lastRenderedPageBreak/>
        <w:tab/>
      </w:r>
      <w:r w:rsidR="00237051">
        <w:t xml:space="preserve">Justice Black makes several references along this line of thinking. </w:t>
      </w:r>
      <w:r w:rsidR="005A4AF9">
        <w:t>First, as he is explaining early colonial history, he references the situation in Europe in this manner. “</w:t>
      </w:r>
      <w:r w:rsidR="005A4AF9" w:rsidRPr="005A4AF9">
        <w:t xml:space="preserve">The centuries immediately before and contemporaneous with the colonization of America had been filled with turmoil, civil strife, and persecutions, generated in large part by established sects </w:t>
      </w:r>
      <w:r w:rsidR="005A4AF9" w:rsidRPr="005A4AF9">
        <w:rPr>
          <w:i/>
        </w:rPr>
        <w:t xml:space="preserve">determined to </w:t>
      </w:r>
      <w:bookmarkStart w:id="49" w:name="co_pp_sp_780_9_1"/>
      <w:bookmarkEnd w:id="49"/>
      <w:r w:rsidR="005A4AF9" w:rsidRPr="005A4AF9">
        <w:rPr>
          <w:i/>
        </w:rPr>
        <w:t>maintain their absolute political and religious supremacy</w:t>
      </w:r>
      <w:r w:rsidR="005A4AF9">
        <w:t>”</w:t>
      </w:r>
      <w:r w:rsidR="005A4AF9">
        <w:rPr>
          <w:rStyle w:val="FootnoteReference"/>
        </w:rPr>
        <w:footnoteReference w:id="218"/>
      </w:r>
      <w:r w:rsidR="005A4AF9">
        <w:t xml:space="preserve"> (emphasis added). His focus here indicates that he believes that it was the religious sects </w:t>
      </w:r>
      <w:r w:rsidR="00DF7B53">
        <w:t xml:space="preserve">who </w:t>
      </w:r>
      <w:r w:rsidR="005A4AF9">
        <w:t>were responsible because they were the ones who had, and wished to maintain political authority. He follows that immediately with the concept that the government was simply supporting these sects as they vied for top political spots and that in the process of that tug of war people were killed, tortured, and imprisoned</w:t>
      </w:r>
      <w:r w:rsidR="00B976FB">
        <w:t>, pawns in a church sponsored political battle. In the course of his opinion Black gives a concise interpretation of what, exactly an establishment is,</w:t>
      </w:r>
    </w:p>
    <w:p w:rsidR="00B35C0C" w:rsidRDefault="00B35C0C" w:rsidP="001C6372">
      <w:pPr>
        <w:tabs>
          <w:tab w:val="left" w:pos="720"/>
        </w:tabs>
        <w:spacing w:line="480" w:lineRule="auto"/>
        <w:contextualSpacing/>
      </w:pPr>
    </w:p>
    <w:p w:rsidR="00B976FB" w:rsidRDefault="00B976FB" w:rsidP="00B976FB">
      <w:pPr>
        <w:tabs>
          <w:tab w:val="left" w:pos="720"/>
        </w:tabs>
        <w:spacing w:line="240" w:lineRule="auto"/>
        <w:ind w:left="720"/>
        <w:contextualSpacing/>
      </w:pPr>
      <w:r w:rsidRPr="00B976FB">
        <w:t>The ‘establishment of religion’ clause of the First Amendment means at least this: Neither a state nor the Federal Government can set up a church. Neither can pass laws which aid one religion, aid all religions, or prefer one religion over another. Neither can force nor influence a person to go to or to remain away from church against his will or force him to profess a belief or disbelief in any religion. No person can be punished for entertaining</w:t>
      </w:r>
      <w:bookmarkStart w:id="50" w:name="co_pp_sp_780_16_1"/>
      <w:bookmarkEnd w:id="50"/>
      <w:r w:rsidRPr="00B976FB">
        <w:t xml:space="preserve"> or professing religious beliefs or disbeliefs, for church attendance or non-attendance. No tax in any amount, large or small, can be levied to support any religious activities or institutions, whatever they may be called, or whatever form they may adopt to</w:t>
      </w:r>
      <w:bookmarkStart w:id="51" w:name="co_pp_sp_708_512_1"/>
      <w:bookmarkEnd w:id="51"/>
      <w:r w:rsidRPr="00B976FB">
        <w:t xml:space="preserve"> teach or practice religion</w:t>
      </w:r>
      <w:r w:rsidR="00DF7B53">
        <w:t>.</w:t>
      </w:r>
      <w:r w:rsidR="00DF7B53" w:rsidRPr="00DF7B53">
        <w:rPr>
          <w:vertAlign w:val="superscript"/>
        </w:rPr>
        <w:footnoteReference w:id="219"/>
      </w:r>
    </w:p>
    <w:p w:rsidR="00B976FB" w:rsidRDefault="00B976FB" w:rsidP="00B976FB">
      <w:pPr>
        <w:tabs>
          <w:tab w:val="left" w:pos="720"/>
        </w:tabs>
        <w:spacing w:line="240" w:lineRule="auto"/>
        <w:contextualSpacing/>
      </w:pPr>
    </w:p>
    <w:p w:rsidR="00AF2B63" w:rsidRDefault="0078697C" w:rsidP="00AF2B63">
      <w:pPr>
        <w:tabs>
          <w:tab w:val="left" w:pos="720"/>
        </w:tabs>
        <w:spacing w:line="480" w:lineRule="auto"/>
        <w:contextualSpacing/>
      </w:pPr>
      <w:r>
        <w:t>He then ends this statement with the following line, “</w:t>
      </w:r>
      <w:r w:rsidRPr="0078697C">
        <w:t xml:space="preserve">Neither a state nor the Federal Government can, openly or secretly, participate in the affairs of any religious organizations or groups </w:t>
      </w:r>
      <w:r w:rsidRPr="0078697C">
        <w:rPr>
          <w:i/>
        </w:rPr>
        <w:t>and vice versa</w:t>
      </w:r>
      <w:r>
        <w:t xml:space="preserve"> (emphasis added).</w:t>
      </w:r>
      <w:r>
        <w:rPr>
          <w:rStyle w:val="FootnoteReference"/>
        </w:rPr>
        <w:footnoteReference w:id="220"/>
      </w:r>
      <w:r>
        <w:t xml:space="preserve"> The general tone of these </w:t>
      </w:r>
      <w:r>
        <w:lastRenderedPageBreak/>
        <w:t xml:space="preserve">statements suggest religion itself as the aggressor and should prohibited from access to government. </w:t>
      </w:r>
      <w:r w:rsidR="00AF2B63">
        <w:t>Black</w:t>
      </w:r>
      <w:r>
        <w:t xml:space="preserve"> </w:t>
      </w:r>
      <w:r w:rsidR="00044441">
        <w:t>justifies</w:t>
      </w:r>
      <w:r w:rsidR="00AF2B63">
        <w:t xml:space="preserve"> his “broad </w:t>
      </w:r>
      <w:r w:rsidR="00851FB3">
        <w:t>interpretation</w:t>
      </w:r>
      <w:r w:rsidR="004B2552">
        <w:t>”</w:t>
      </w:r>
      <w:r w:rsidR="00AF2B63">
        <w:t xml:space="preserve"> of an establishment</w:t>
      </w:r>
      <w:r>
        <w:t xml:space="preserve"> as being Madisonian through a case called </w:t>
      </w:r>
      <w:r w:rsidR="00044441" w:rsidRPr="00044441">
        <w:rPr>
          <w:i/>
        </w:rPr>
        <w:t xml:space="preserve">Watson v. Jones, </w:t>
      </w:r>
      <w:r w:rsidR="00044441" w:rsidRPr="00044441">
        <w:t>80 U.S. 679 (1871)</w:t>
      </w:r>
      <w:r w:rsidR="00957FDD">
        <w:t>.</w:t>
      </w:r>
      <w:r>
        <w:t xml:space="preserve"> In this case Justice </w:t>
      </w:r>
      <w:r w:rsidR="00AF2B63">
        <w:t>Samuel F. Miller states that “</w:t>
      </w:r>
      <w:r w:rsidR="00AF2B63" w:rsidRPr="00AF2B63">
        <w:t>The structure of our government has, for the preservation of civil liberty, rescued the temporal institutions from religious interference. On the other hand, it has secured religious liberty from the invasion of the civil authority.</w:t>
      </w:r>
      <w:r w:rsidR="00AF2B63">
        <w:t>”</w:t>
      </w:r>
      <w:r w:rsidR="00AF2B63">
        <w:rPr>
          <w:rStyle w:val="FootnoteReference"/>
        </w:rPr>
        <w:footnoteReference w:id="221"/>
      </w:r>
      <w:r w:rsidR="00AF2B63">
        <w:t xml:space="preserve"> The concept, though not directly cited, is drawn from Madison’s </w:t>
      </w:r>
      <w:r w:rsidR="00AF2B63" w:rsidRPr="00AF2B63">
        <w:rPr>
          <w:i/>
        </w:rPr>
        <w:t>Memorial and Remonstrance</w:t>
      </w:r>
      <w:r w:rsidR="00AF2B63" w:rsidRPr="00AF2B63">
        <w:t xml:space="preserve"> </w:t>
      </w:r>
      <w:r w:rsidR="00AF2B63">
        <w:t>and is also referenced by Justice Rutledge.</w:t>
      </w:r>
    </w:p>
    <w:p w:rsidR="00AF2B63" w:rsidRDefault="00AF2B63" w:rsidP="00AF2B63">
      <w:pPr>
        <w:tabs>
          <w:tab w:val="left" w:pos="720"/>
        </w:tabs>
        <w:spacing w:line="480" w:lineRule="auto"/>
        <w:contextualSpacing/>
      </w:pPr>
      <w:r>
        <w:tab/>
      </w:r>
      <w:r w:rsidR="00363BED">
        <w:t xml:space="preserve">Rutledge makes a </w:t>
      </w:r>
      <w:r w:rsidR="00B63679">
        <w:t>hardline</w:t>
      </w:r>
      <w:r w:rsidR="00363BED">
        <w:t xml:space="preserve"> claim that </w:t>
      </w:r>
      <w:r w:rsidR="00B63679">
        <w:t>there is and must be a “complete and permanent separation of the spheres of religious activity and civil authority.”</w:t>
      </w:r>
      <w:r w:rsidR="00B63679">
        <w:rPr>
          <w:rStyle w:val="FootnoteReference"/>
        </w:rPr>
        <w:footnoteReference w:id="222"/>
      </w:r>
      <w:r w:rsidR="00B63679">
        <w:t xml:space="preserve"> To his way of thinking</w:t>
      </w:r>
      <w:r w:rsidR="00D64834">
        <w:t>,</w:t>
      </w:r>
      <w:r w:rsidR="00B63679">
        <w:t xml:space="preserve"> the government cannot so much as even give aid to or encourage a religion. While clearly showing the he understands the dangers of the state supporting the various religions, he turns the argument on the church when he says </w:t>
      </w:r>
      <w:r w:rsidR="00A87CAD">
        <w:t>“</w:t>
      </w:r>
      <w:r w:rsidR="00A87CAD" w:rsidRPr="00A87CAD">
        <w:t xml:space="preserve">There cannot be freedom of religion, safeguarded by the state, and </w:t>
      </w:r>
      <w:r w:rsidR="00A87CAD" w:rsidRPr="00A87CAD">
        <w:rPr>
          <w:i/>
        </w:rPr>
        <w:t>intervention by the church or its agencies in the state’s domain</w:t>
      </w:r>
      <w:r w:rsidR="00A87CAD" w:rsidRPr="00A87CAD">
        <w:t xml:space="preserve"> or dependency on its largesse</w:t>
      </w:r>
      <w:r w:rsidR="00A87CAD">
        <w:t>” (emphasis added)</w:t>
      </w:r>
      <w:r w:rsidR="00957FDD">
        <w:t>.</w:t>
      </w:r>
      <w:r w:rsidR="00A87CAD">
        <w:rPr>
          <w:rStyle w:val="FootnoteReference"/>
        </w:rPr>
        <w:footnoteReference w:id="223"/>
      </w:r>
      <w:r w:rsidR="00A87CAD">
        <w:t xml:space="preserve"> He draws on Madison’s </w:t>
      </w:r>
      <w:r w:rsidR="00A87CAD" w:rsidRPr="00A87CAD">
        <w:rPr>
          <w:i/>
        </w:rPr>
        <w:t>Remonstrance</w:t>
      </w:r>
      <w:r w:rsidR="00A87CAD">
        <w:t xml:space="preserve"> and Madison’s claim that the church fares much better when it depends only on the support of the voluntary offerings of its laity. Rutledge also cites Madison in his point that there </w:t>
      </w:r>
      <w:r w:rsidR="007067C5">
        <w:t>wa</w:t>
      </w:r>
      <w:r w:rsidR="00A87CAD">
        <w:t>s an attempt to use religion as “an engine of Civil policy”</w:t>
      </w:r>
      <w:r w:rsidR="00A87CAD">
        <w:rPr>
          <w:rStyle w:val="FootnoteReference"/>
        </w:rPr>
        <w:footnoteReference w:id="224"/>
      </w:r>
    </w:p>
    <w:p w:rsidR="00A87CAD" w:rsidRDefault="00A87CAD" w:rsidP="00AF2B63">
      <w:pPr>
        <w:tabs>
          <w:tab w:val="left" w:pos="720"/>
        </w:tabs>
        <w:spacing w:line="480" w:lineRule="auto"/>
        <w:contextualSpacing/>
      </w:pPr>
      <w:r>
        <w:tab/>
        <w:t>The foregoing quote is found in paragraph five of the remonstrance. Both B</w:t>
      </w:r>
      <w:r w:rsidR="00851FB3">
        <w:t>la</w:t>
      </w:r>
      <w:r>
        <w:t>ck’s argument and R</w:t>
      </w:r>
      <w:r w:rsidR="00851FB3">
        <w:t>ut</w:t>
      </w:r>
      <w:r>
        <w:t>ledge</w:t>
      </w:r>
      <w:r w:rsidR="00851FB3">
        <w:t xml:space="preserve">’s are tied to this quote in that the concept that Madison seems to </w:t>
      </w:r>
      <w:r w:rsidR="00851FB3">
        <w:lastRenderedPageBreak/>
        <w:t>be trying to make is that religion was trying to determine what civil policy might be, which to Madison was a “perversion of the means of salvation.”</w:t>
      </w:r>
      <w:r w:rsidR="00851FB3">
        <w:rPr>
          <w:rStyle w:val="FootnoteReference"/>
        </w:rPr>
        <w:footnoteReference w:id="225"/>
      </w:r>
      <w:r w:rsidR="00851FB3">
        <w:t xml:space="preserve"> However</w:t>
      </w:r>
      <w:r w:rsidR="00211716">
        <w:t>,</w:t>
      </w:r>
      <w:r w:rsidR="00851FB3">
        <w:t xml:space="preserve"> the entire tone and tenor of Madison’s writings did not show a concern for the church taking over the state but for the state taking over religion. “</w:t>
      </w:r>
      <w:r w:rsidR="00851FB3" w:rsidRPr="00851FB3">
        <w:t xml:space="preserve">Torrents of blood have been spilt in the old world, by vain attempts of the </w:t>
      </w:r>
      <w:r w:rsidR="00851FB3" w:rsidRPr="00851FB3">
        <w:rPr>
          <w:i/>
        </w:rPr>
        <w:t>secular arm</w:t>
      </w:r>
      <w:r w:rsidR="00851FB3" w:rsidRPr="00851FB3">
        <w:t xml:space="preserve"> to extinguish Religious discord, by </w:t>
      </w:r>
      <w:r w:rsidR="00851FB3" w:rsidRPr="00851FB3">
        <w:rPr>
          <w:i/>
        </w:rPr>
        <w:t>proscribing</w:t>
      </w:r>
      <w:r w:rsidR="00851FB3" w:rsidRPr="00851FB3">
        <w:t xml:space="preserve"> all difference in Religious opinions</w:t>
      </w:r>
      <w:r w:rsidR="00851FB3">
        <w:t>”</w:t>
      </w:r>
      <w:r w:rsidR="000A7246">
        <w:t xml:space="preserve"> (emphasis added).</w:t>
      </w:r>
      <w:r w:rsidR="00851FB3">
        <w:rPr>
          <w:rStyle w:val="FootnoteReference"/>
        </w:rPr>
        <w:footnoteReference w:id="226"/>
      </w:r>
      <w:r w:rsidR="001A3CCF">
        <w:t xml:space="preserve"> History had shown Madison that this was the true case when it came to loss of liberty. Sects often fought among themselves and sectarian violence has been part of society as long as people have believed in a god, but not until the state became an active participant in determining doctrine and orthodoxy did religious factionalism become a threat to liberty. This was Madison’s heart and what really shows through his </w:t>
      </w:r>
      <w:r w:rsidR="001A3CCF" w:rsidRPr="001A3CCF">
        <w:rPr>
          <w:i/>
        </w:rPr>
        <w:t>Memorial and Remonstrance</w:t>
      </w:r>
      <w:r w:rsidR="001A3CCF">
        <w:t xml:space="preserve">. </w:t>
      </w:r>
    </w:p>
    <w:p w:rsidR="00AF2B63" w:rsidRPr="00AF2B63" w:rsidRDefault="00AF2B63" w:rsidP="00AF2B63">
      <w:pPr>
        <w:tabs>
          <w:tab w:val="left" w:pos="720"/>
        </w:tabs>
        <w:spacing w:line="480" w:lineRule="auto"/>
        <w:contextualSpacing/>
      </w:pPr>
      <w:r>
        <w:tab/>
      </w:r>
      <w:r w:rsidRPr="00AF2B63">
        <w:br/>
      </w:r>
    </w:p>
    <w:p w:rsidR="0078697C" w:rsidRPr="005A4AF9" w:rsidRDefault="0078697C" w:rsidP="0078697C">
      <w:pPr>
        <w:tabs>
          <w:tab w:val="left" w:pos="720"/>
        </w:tabs>
        <w:spacing w:line="480" w:lineRule="auto"/>
        <w:contextualSpacing/>
      </w:pPr>
    </w:p>
    <w:p w:rsidR="00BC4964" w:rsidRDefault="00BC4964" w:rsidP="001D1114">
      <w:pPr>
        <w:tabs>
          <w:tab w:val="left" w:pos="720"/>
        </w:tabs>
        <w:spacing w:line="480" w:lineRule="auto"/>
        <w:contextualSpacing/>
      </w:pPr>
    </w:p>
    <w:p w:rsidR="006E20EB" w:rsidRPr="00C475F1" w:rsidRDefault="006E20EB" w:rsidP="001D1114">
      <w:pPr>
        <w:tabs>
          <w:tab w:val="left" w:pos="720"/>
        </w:tabs>
        <w:spacing w:line="480" w:lineRule="auto"/>
        <w:contextualSpacing/>
      </w:pPr>
      <w:r>
        <w:tab/>
      </w:r>
    </w:p>
    <w:p w:rsidR="009A01CA" w:rsidRDefault="009A01CA" w:rsidP="001D1114">
      <w:pPr>
        <w:tabs>
          <w:tab w:val="left" w:pos="720"/>
        </w:tabs>
        <w:spacing w:line="480" w:lineRule="auto"/>
        <w:contextualSpacing/>
        <w:sectPr w:rsidR="009A01CA" w:rsidSect="00AC21EF">
          <w:footnotePr>
            <w:numRestart w:val="eachSect"/>
          </w:footnotePr>
          <w:pgSz w:w="12240" w:h="15840"/>
          <w:pgMar w:top="1440" w:right="1440" w:bottom="1440" w:left="2160" w:header="720" w:footer="720" w:gutter="0"/>
          <w:cols w:space="720"/>
          <w:docGrid w:linePitch="360"/>
        </w:sectPr>
      </w:pPr>
    </w:p>
    <w:p w:rsidR="004D4587" w:rsidRDefault="004D4587" w:rsidP="00D542D2">
      <w:pPr>
        <w:tabs>
          <w:tab w:val="left" w:pos="720"/>
        </w:tabs>
        <w:spacing w:line="480" w:lineRule="auto"/>
        <w:contextualSpacing/>
        <w:jc w:val="center"/>
      </w:pPr>
      <w:r w:rsidRPr="004D4587">
        <w:rPr>
          <w:b/>
          <w:u w:val="single"/>
        </w:rPr>
        <w:lastRenderedPageBreak/>
        <w:t>CONCLUSION</w:t>
      </w:r>
    </w:p>
    <w:p w:rsidR="00D542D2" w:rsidRDefault="00D542D2" w:rsidP="00D542D2">
      <w:pPr>
        <w:tabs>
          <w:tab w:val="left" w:pos="720"/>
        </w:tabs>
        <w:spacing w:line="480" w:lineRule="auto"/>
        <w:contextualSpacing/>
        <w:jc w:val="center"/>
      </w:pPr>
    </w:p>
    <w:p w:rsidR="00D542D2" w:rsidRDefault="00D542D2" w:rsidP="00D542D2">
      <w:pPr>
        <w:tabs>
          <w:tab w:val="left" w:pos="720"/>
        </w:tabs>
        <w:spacing w:line="480" w:lineRule="auto"/>
        <w:contextualSpacing/>
      </w:pPr>
      <w:r>
        <w:tab/>
      </w:r>
      <w:r w:rsidR="000344BB">
        <w:t xml:space="preserve">Everything is about context. </w:t>
      </w:r>
      <w:r w:rsidR="00DD0467">
        <w:t xml:space="preserve">For </w:t>
      </w:r>
      <w:r>
        <w:t>James Madison</w:t>
      </w:r>
      <w:r w:rsidR="00DD0467">
        <w:t xml:space="preserve">, </w:t>
      </w:r>
      <w:r w:rsidR="000344BB">
        <w:t xml:space="preserve">that context was </w:t>
      </w:r>
      <w:r w:rsidR="00DD0467">
        <w:t>liberty</w:t>
      </w:r>
      <w:r w:rsidR="00A97E01">
        <w:t>. He</w:t>
      </w:r>
      <w:r>
        <w:t xml:space="preserve"> once wrote his father that he could not bring himself to punish a slave that had run away</w:t>
      </w:r>
      <w:r w:rsidR="00A74DB2">
        <w:t>,</w:t>
      </w:r>
      <w:r>
        <w:t xml:space="preserve"> </w:t>
      </w:r>
      <w:r w:rsidR="00A74DB2">
        <w:t>“</w:t>
      </w:r>
      <w:r w:rsidR="00A74DB2" w:rsidRPr="00A74DB2">
        <w:t>for coveting that liberty for which we have paid the price of so much blood, and have proclaimed so often to be the right, &amp; worthy the pursuit, of every human being.</w:t>
      </w:r>
      <w:r w:rsidR="00A74DB2">
        <w:t>”</w:t>
      </w:r>
      <w:r>
        <w:rPr>
          <w:rStyle w:val="FootnoteReference"/>
        </w:rPr>
        <w:footnoteReference w:id="227"/>
      </w:r>
      <w:r w:rsidR="000344BB">
        <w:t xml:space="preserve"> </w:t>
      </w:r>
      <w:r>
        <w:t>Through his reading of enlightenment authors, and his study of history</w:t>
      </w:r>
      <w:r w:rsidR="00211716">
        <w:t>,</w:t>
      </w:r>
      <w:r>
        <w:t xml:space="preserve"> he had a very specific concept of what liberty included, </w:t>
      </w:r>
      <w:r w:rsidR="00A74DB2">
        <w:t>freedom to do as you please with what is yours</w:t>
      </w:r>
      <w:r w:rsidR="00D17C98">
        <w:t>, including your thoughts and beliefs</w:t>
      </w:r>
      <w:r w:rsidR="000A7246">
        <w:t>. H</w:t>
      </w:r>
      <w:r w:rsidR="000344BB">
        <w:t xml:space="preserve">e saw that the drama of liberty played out in his young nation in everything from </w:t>
      </w:r>
      <w:r w:rsidR="00F3690B">
        <w:t>the R</w:t>
      </w:r>
      <w:r w:rsidR="000344BB">
        <w:t>evolution to Baptist preachers proclaiming their true beliefs through the bars of their jail cells.</w:t>
      </w:r>
      <w:r w:rsidR="00D17C98">
        <w:t xml:space="preserve"> </w:t>
      </w:r>
      <w:r w:rsidR="000344BB">
        <w:t xml:space="preserve">To Madison, </w:t>
      </w:r>
      <w:r w:rsidR="002D34F0">
        <w:t>r</w:t>
      </w:r>
      <w:r w:rsidR="000344BB">
        <w:t>epublicanism</w:t>
      </w:r>
      <w:r w:rsidR="00D17C98">
        <w:t xml:space="preserve"> where</w:t>
      </w:r>
      <w:r w:rsidR="000344BB">
        <w:t xml:space="preserve"> </w:t>
      </w:r>
      <w:r w:rsidR="00D17C98">
        <w:t>representatives who were statesmen would decide what was best for the country</w:t>
      </w:r>
      <w:r w:rsidR="000A7246">
        <w:t>,</w:t>
      </w:r>
      <w:r w:rsidR="000344BB">
        <w:t xml:space="preserve"> was the best way to promote liberty and</w:t>
      </w:r>
      <w:r w:rsidR="00D17C98">
        <w:t xml:space="preserve"> faction </w:t>
      </w:r>
      <w:r w:rsidR="000344BB">
        <w:t>its</w:t>
      </w:r>
      <w:r w:rsidR="00D17C98">
        <w:t xml:space="preserve"> greatest threat</w:t>
      </w:r>
      <w:r w:rsidR="000344BB">
        <w:t>.</w:t>
      </w:r>
    </w:p>
    <w:p w:rsidR="00A055A5" w:rsidRDefault="00A055A5" w:rsidP="00D542D2">
      <w:pPr>
        <w:tabs>
          <w:tab w:val="left" w:pos="720"/>
        </w:tabs>
        <w:spacing w:line="480" w:lineRule="auto"/>
        <w:contextualSpacing/>
      </w:pPr>
      <w:r>
        <w:tab/>
      </w:r>
      <w:r w:rsidR="00D17C98">
        <w:t xml:space="preserve">Madison knew that faction could wear many faces, not the least of which was religious faction. </w:t>
      </w:r>
      <w:r w:rsidR="000344BB">
        <w:t xml:space="preserve">Yet, to destroy faction was also to destroy liberty, something Madison had no desire to do. Men needed to be able to choose for themselves what they </w:t>
      </w:r>
      <w:r w:rsidR="00173300">
        <w:t>believed and</w:t>
      </w:r>
      <w:r w:rsidR="000344BB">
        <w:t xml:space="preserve"> who they supported, this was especially true where freedom of consciousness was concerned. </w:t>
      </w:r>
      <w:r w:rsidR="00173300">
        <w:t xml:space="preserve">Unlike David Hume who thought to extinguish all forms of faction, Madison chose to ascribe to Voltaire’s vision and promote all factions so that none might gain the upper hand. This was especially true where religious faction was concerned. </w:t>
      </w:r>
      <w:r w:rsidR="007067C5">
        <w:t xml:space="preserve">Madison knew this to be true, not only from his study of history and prominent authors of his time, but from experience while he was in college in New Jersey. </w:t>
      </w:r>
    </w:p>
    <w:p w:rsidR="007067C5" w:rsidRDefault="007067C5" w:rsidP="00D542D2">
      <w:pPr>
        <w:tabs>
          <w:tab w:val="left" w:pos="720"/>
        </w:tabs>
        <w:spacing w:line="480" w:lineRule="auto"/>
        <w:contextualSpacing/>
      </w:pPr>
      <w:r>
        <w:lastRenderedPageBreak/>
        <w:tab/>
        <w:t xml:space="preserve">Contextually, Madison’s three greatest concerns, that the influence of the government would corrupt the purity of religion, that an established church would prevent men in their liberty from worshiping God as they believed was right, and that a corrupt government might use the church to prop up </w:t>
      </w:r>
      <w:r w:rsidR="00DA4BF1">
        <w:t xml:space="preserve">an illegitimate regime are answered in the Establishment Clause. Though it cannot be considered a good thing for a religion to gain control of a government, the true point was </w:t>
      </w:r>
      <w:r w:rsidR="00776DA2">
        <w:t>that the loss of liberty was a direct result of the government attempting to settle religious factionalism by taking sides. T</w:t>
      </w:r>
      <w:r w:rsidR="00DA4BF1">
        <w:t>o keep government out of the business of the church</w:t>
      </w:r>
      <w:r w:rsidR="00776DA2">
        <w:t xml:space="preserve"> was the best way to prevent this</w:t>
      </w:r>
      <w:r w:rsidR="00DA4BF1">
        <w:t>.</w:t>
      </w:r>
    </w:p>
    <w:p w:rsidR="00DA4BF1" w:rsidRPr="00DA4BF1" w:rsidRDefault="00DA4BF1" w:rsidP="00D542D2">
      <w:pPr>
        <w:tabs>
          <w:tab w:val="left" w:pos="720"/>
        </w:tabs>
        <w:spacing w:line="480" w:lineRule="auto"/>
        <w:contextualSpacing/>
      </w:pPr>
      <w:r>
        <w:tab/>
        <w:t xml:space="preserve">In examining the </w:t>
      </w:r>
      <w:r w:rsidRPr="00DA4BF1">
        <w:rPr>
          <w:i/>
        </w:rPr>
        <w:t>Everson</w:t>
      </w:r>
      <w:r>
        <w:t xml:space="preserve"> opinions, I find that, while I agree with Justice Black in his outcome, I cannot agree with the full tone of either his or Justice Rutledge’s stance on the relationship between church and state, nor their usage of James Madison’s </w:t>
      </w:r>
      <w:r w:rsidRPr="00DA4BF1">
        <w:rPr>
          <w:i/>
        </w:rPr>
        <w:t>Memorial and Remonstrance</w:t>
      </w:r>
      <w:r>
        <w:t xml:space="preserve"> to support it. </w:t>
      </w:r>
      <w:r w:rsidR="00776DA2">
        <w:t>Neither Justice takes into account the cause of liberty and the understanding that government intervention exacerbates factional violence, nor the deleterious effects that the resultant violence can have on the very government</w:t>
      </w:r>
      <w:r w:rsidR="00367988">
        <w:t xml:space="preserve"> </w:t>
      </w:r>
      <w:r w:rsidR="000A10D5">
        <w:t xml:space="preserve">that is trying to control those factions. </w:t>
      </w:r>
      <w:r w:rsidR="00B71E27">
        <w:t>Madison’s truest heart was for the liberty of men, in their persons, in their property, and in their beliefs</w:t>
      </w:r>
      <w:r w:rsidR="00211716">
        <w:t>,</w:t>
      </w:r>
      <w:r w:rsidR="00B71E27">
        <w:t xml:space="preserve"> but he was also a pragmatic man who realized the importance of religion to his fellow citizens. </w:t>
      </w:r>
      <w:r w:rsidR="000A10D5">
        <w:t>He understood that g</w:t>
      </w:r>
      <w:r w:rsidR="00B71E27">
        <w:t xml:space="preserve">overnments who transgressed that liberty </w:t>
      </w:r>
      <w:r w:rsidR="000A10D5">
        <w:t xml:space="preserve">by taking sides </w:t>
      </w:r>
      <w:r w:rsidR="00B71E27">
        <w:t>did so at their own peril</w:t>
      </w:r>
      <w:r w:rsidR="000A10D5">
        <w:t>. The best remedy was for the government to make sure that everyone’s liberty in regards to freedom of conscience was secure and the best way to do that was to give the government no place in religion</w:t>
      </w:r>
      <w:r w:rsidR="00B71E27">
        <w:t xml:space="preserve">. </w:t>
      </w:r>
      <w:r w:rsidR="00771EE5">
        <w:t>Only in this way could the citizens be happy in their estate and the government be stable and secure.</w:t>
      </w:r>
    </w:p>
    <w:p w:rsidR="000A5AB8" w:rsidRDefault="000A5AB8" w:rsidP="00D542D2">
      <w:pPr>
        <w:tabs>
          <w:tab w:val="left" w:pos="720"/>
        </w:tabs>
        <w:spacing w:line="240" w:lineRule="auto"/>
        <w:contextualSpacing/>
      </w:pPr>
    </w:p>
    <w:p w:rsidR="00D542D2" w:rsidRDefault="00D542D2" w:rsidP="00D542D2">
      <w:pPr>
        <w:tabs>
          <w:tab w:val="left" w:pos="720"/>
        </w:tabs>
        <w:spacing w:line="240" w:lineRule="auto"/>
        <w:contextualSpacing/>
      </w:pPr>
    </w:p>
    <w:p w:rsidR="000A5AB8" w:rsidRDefault="000A5AB8" w:rsidP="000A5AB8">
      <w:pPr>
        <w:tabs>
          <w:tab w:val="left" w:pos="720"/>
        </w:tabs>
        <w:spacing w:line="240" w:lineRule="auto"/>
        <w:contextualSpacing/>
        <w:sectPr w:rsidR="000A5AB8" w:rsidSect="00AC21EF">
          <w:footnotePr>
            <w:numRestart w:val="eachSect"/>
          </w:footnotePr>
          <w:pgSz w:w="12240" w:h="15840"/>
          <w:pgMar w:top="1440" w:right="1440" w:bottom="1440" w:left="2160" w:header="720" w:footer="720" w:gutter="0"/>
          <w:cols w:space="720"/>
          <w:docGrid w:linePitch="360"/>
        </w:sectPr>
      </w:pPr>
    </w:p>
    <w:p w:rsidR="000A5AB8" w:rsidRDefault="000A5AB8" w:rsidP="000A5AB8">
      <w:pPr>
        <w:tabs>
          <w:tab w:val="left" w:pos="720"/>
        </w:tabs>
        <w:spacing w:line="240" w:lineRule="auto"/>
        <w:contextualSpacing/>
        <w:jc w:val="center"/>
        <w:rPr>
          <w:b/>
          <w:u w:val="single"/>
        </w:rPr>
      </w:pPr>
      <w:r>
        <w:rPr>
          <w:b/>
          <w:u w:val="single"/>
        </w:rPr>
        <w:lastRenderedPageBreak/>
        <w:t>AFTERWORDS</w:t>
      </w:r>
    </w:p>
    <w:p w:rsidR="000A5AB8" w:rsidRDefault="000A5AB8" w:rsidP="000A5AB8">
      <w:pPr>
        <w:tabs>
          <w:tab w:val="left" w:pos="720"/>
        </w:tabs>
        <w:spacing w:line="240" w:lineRule="auto"/>
        <w:contextualSpacing/>
        <w:jc w:val="center"/>
        <w:rPr>
          <w:b/>
          <w:u w:val="single"/>
        </w:rPr>
      </w:pPr>
    </w:p>
    <w:p w:rsidR="000A5AB8" w:rsidRDefault="000A5AB8" w:rsidP="000A5AB8">
      <w:pPr>
        <w:tabs>
          <w:tab w:val="left" w:pos="720"/>
        </w:tabs>
        <w:spacing w:line="240" w:lineRule="auto"/>
        <w:contextualSpacing/>
      </w:pPr>
    </w:p>
    <w:p w:rsidR="004D4587" w:rsidRDefault="000A5AB8" w:rsidP="00E267AB">
      <w:pPr>
        <w:tabs>
          <w:tab w:val="left" w:pos="720"/>
        </w:tabs>
        <w:spacing w:line="480" w:lineRule="auto"/>
        <w:contextualSpacing/>
      </w:pPr>
      <w:r>
        <w:tab/>
        <w:t>Writing this thesis has given me more questions than it has answers. I feel like a c</w:t>
      </w:r>
      <w:r w:rsidR="00E267AB">
        <w:t xml:space="preserve">hild standing ankle deep in water at the seashore and wondering how deep the ocean is. I feel farther than ever away from being a </w:t>
      </w:r>
      <w:r w:rsidR="00211716">
        <w:t>c</w:t>
      </w:r>
      <w:r w:rsidR="00E267AB">
        <w:t xml:space="preserve">onstitutional scholar and find that there are no easy answers to any of the questions raised by attempting to interpret the Constitution. Every point that I attempted to answer had multiple associations to cultural influences </w:t>
      </w:r>
      <w:r w:rsidR="00992831">
        <w:t>especially</w:t>
      </w:r>
      <w:r w:rsidR="00E267AB">
        <w:t xml:space="preserve"> in regards to Madison and the culture of the founding fathers</w:t>
      </w:r>
      <w:r w:rsidR="00AB6480">
        <w:t xml:space="preserve">. How does slavery really fit into the equation, how does Madison’s context affect the chain of church and state Supreme Court Cases, what other cultural issues </w:t>
      </w:r>
      <w:r w:rsidR="0075675E">
        <w:t>such as economics and political agendas</w:t>
      </w:r>
      <w:r w:rsidR="009B3C8D">
        <w:t xml:space="preserve"> </w:t>
      </w:r>
      <w:r w:rsidR="00AB6480">
        <w:t xml:space="preserve">could </w:t>
      </w:r>
      <w:r w:rsidR="009B3C8D">
        <w:t xml:space="preserve">these </w:t>
      </w:r>
      <w:r w:rsidR="00AB6480">
        <w:t xml:space="preserve">be brought into the conversation? </w:t>
      </w:r>
      <w:r w:rsidR="00E267AB">
        <w:t xml:space="preserve"> I feel like I only barely scratched the surface of what potentially lies out there waiting to be discovered. </w:t>
      </w:r>
    </w:p>
    <w:p w:rsidR="00E267AB" w:rsidRPr="004D4587" w:rsidRDefault="00E267AB" w:rsidP="00E267AB">
      <w:pPr>
        <w:tabs>
          <w:tab w:val="left" w:pos="720"/>
        </w:tabs>
        <w:spacing w:line="480" w:lineRule="auto"/>
        <w:contextualSpacing/>
      </w:pPr>
      <w:r>
        <w:tab/>
      </w:r>
      <w:r w:rsidR="00680456">
        <w:t>T</w:t>
      </w:r>
      <w:r w:rsidR="00AB6480">
        <w:t xml:space="preserve">hat </w:t>
      </w:r>
      <w:r>
        <w:t>this project has piqued my interest goes without saying. Somewhere in the middle of all this it stopped being simply me picking up where my father left off and became me running my own race. Part of that came when I read my father’s college paper and found my own thoughts and ideas</w:t>
      </w:r>
      <w:r w:rsidR="00B47093">
        <w:t xml:space="preserve"> were tracking in lines similar to his, but, a larger part came when I found myself looking for answers to my own questions in the writings and culture of James Madison. </w:t>
      </w:r>
      <w:r w:rsidR="009B3C8D">
        <w:t>Moving forward, it will be my pursuit of these questions that will, in large part, define the direction of my life’s work. In that, this thesis has done what I hoped it would do.</w:t>
      </w:r>
    </w:p>
    <w:p w:rsidR="009A01CA" w:rsidRDefault="009A01CA" w:rsidP="001D1114">
      <w:pPr>
        <w:tabs>
          <w:tab w:val="left" w:pos="720"/>
        </w:tabs>
        <w:spacing w:line="480" w:lineRule="auto"/>
        <w:contextualSpacing/>
      </w:pPr>
    </w:p>
    <w:p w:rsidR="009A01CA" w:rsidRDefault="009A01CA" w:rsidP="001D1114">
      <w:pPr>
        <w:tabs>
          <w:tab w:val="left" w:pos="720"/>
        </w:tabs>
        <w:spacing w:line="480" w:lineRule="auto"/>
        <w:contextualSpacing/>
      </w:pPr>
    </w:p>
    <w:p w:rsidR="009A01CA" w:rsidRDefault="009A01CA" w:rsidP="001D1114">
      <w:pPr>
        <w:tabs>
          <w:tab w:val="left" w:pos="720"/>
        </w:tabs>
        <w:spacing w:line="480" w:lineRule="auto"/>
        <w:contextualSpacing/>
        <w:sectPr w:rsidR="009A01CA" w:rsidSect="00AC21EF">
          <w:footnotePr>
            <w:numRestart w:val="eachSect"/>
          </w:footnotePr>
          <w:pgSz w:w="12240" w:h="15840"/>
          <w:pgMar w:top="1440" w:right="1440" w:bottom="1440" w:left="2160" w:header="720" w:footer="720" w:gutter="0"/>
          <w:cols w:space="720"/>
          <w:docGrid w:linePitch="360"/>
        </w:sectPr>
      </w:pPr>
    </w:p>
    <w:p w:rsidR="009A01CA" w:rsidRDefault="004D4587" w:rsidP="001D1114">
      <w:pPr>
        <w:tabs>
          <w:tab w:val="left" w:pos="720"/>
        </w:tabs>
        <w:spacing w:line="240" w:lineRule="auto"/>
        <w:contextualSpacing/>
        <w:jc w:val="center"/>
      </w:pPr>
      <w:r w:rsidRPr="004D4587">
        <w:rPr>
          <w:b/>
          <w:u w:val="single"/>
        </w:rPr>
        <w:lastRenderedPageBreak/>
        <w:t>BIBLIOGRAPHY</w:t>
      </w:r>
    </w:p>
    <w:p w:rsidR="004D4587" w:rsidRDefault="004D4587" w:rsidP="001D1114">
      <w:pPr>
        <w:tabs>
          <w:tab w:val="left" w:pos="720"/>
        </w:tabs>
        <w:spacing w:line="240" w:lineRule="auto"/>
        <w:contextualSpacing/>
        <w:jc w:val="center"/>
      </w:pPr>
    </w:p>
    <w:p w:rsidR="004D4587" w:rsidRDefault="004D4587" w:rsidP="001D1114">
      <w:pPr>
        <w:tabs>
          <w:tab w:val="left" w:pos="720"/>
        </w:tabs>
        <w:spacing w:line="240" w:lineRule="auto"/>
        <w:contextualSpacing/>
        <w:jc w:val="center"/>
      </w:pPr>
    </w:p>
    <w:p w:rsidR="009E003B" w:rsidRDefault="009E003B" w:rsidP="001D1114">
      <w:pPr>
        <w:tabs>
          <w:tab w:val="left" w:pos="720"/>
        </w:tabs>
        <w:spacing w:line="480" w:lineRule="auto"/>
        <w:ind w:left="720" w:hanging="720"/>
        <w:contextualSpacing/>
      </w:pPr>
      <w:bookmarkStart w:id="53" w:name="_Hlk503459245"/>
      <w:r>
        <w:t>Bailyn, Bernard</w:t>
      </w:r>
      <w:r w:rsidR="00F41318">
        <w:t>,</w:t>
      </w:r>
      <w:r>
        <w:t xml:space="preserve"> </w:t>
      </w:r>
      <w:r w:rsidR="00575934">
        <w:t>e</w:t>
      </w:r>
      <w:r>
        <w:t xml:space="preserve">d. </w:t>
      </w:r>
      <w:r>
        <w:rPr>
          <w:i/>
        </w:rPr>
        <w:t xml:space="preserve">Pamphlets of the American Revolution. </w:t>
      </w:r>
      <w:r>
        <w:t>vol 1. Cambridge: Belknap Press, 1965.</w:t>
      </w:r>
    </w:p>
    <w:p w:rsidR="00682785" w:rsidRPr="009E003B" w:rsidRDefault="00682785" w:rsidP="001D1114">
      <w:pPr>
        <w:tabs>
          <w:tab w:val="left" w:pos="720"/>
        </w:tabs>
        <w:spacing w:line="480" w:lineRule="auto"/>
        <w:ind w:left="720" w:hanging="720"/>
        <w:contextualSpacing/>
      </w:pPr>
      <w:r w:rsidRPr="00682785">
        <w:t>Ball, Howard</w:t>
      </w:r>
      <w:r>
        <w:t>.</w:t>
      </w:r>
      <w:r w:rsidRPr="00682785">
        <w:t xml:space="preserve"> </w:t>
      </w:r>
      <w:r w:rsidRPr="00682785">
        <w:rPr>
          <w:i/>
        </w:rPr>
        <w:t>Hugo Black: Cold Steel Warrior</w:t>
      </w:r>
      <w:r w:rsidR="00561059">
        <w:rPr>
          <w:i/>
        </w:rPr>
        <w:t>.</w:t>
      </w:r>
      <w:r w:rsidRPr="00682785">
        <w:t xml:space="preserve"> New York: Oxford University Press, 1996</w:t>
      </w:r>
      <w:r w:rsidR="00561059">
        <w:t>.</w:t>
      </w:r>
    </w:p>
    <w:p w:rsidR="00D87B21" w:rsidRDefault="00D87B21" w:rsidP="001D1114">
      <w:pPr>
        <w:tabs>
          <w:tab w:val="left" w:pos="720"/>
        </w:tabs>
        <w:spacing w:line="480" w:lineRule="auto"/>
        <w:ind w:left="720" w:hanging="720"/>
        <w:contextualSpacing/>
      </w:pPr>
      <w:r w:rsidRPr="00D87B21">
        <w:t>Betts, R. R. "</w:t>
      </w:r>
      <w:r w:rsidR="00607EE0" w:rsidRPr="00D87B21">
        <w:t>Jan Hus</w:t>
      </w:r>
      <w:r w:rsidRPr="00D87B21">
        <w:t xml:space="preserve">." </w:t>
      </w:r>
      <w:r w:rsidRPr="00D87B21">
        <w:rPr>
          <w:i/>
          <w:iCs/>
        </w:rPr>
        <w:t>History</w:t>
      </w:r>
      <w:r w:rsidRPr="00D87B21">
        <w:t xml:space="preserve">, </w:t>
      </w:r>
      <w:r w:rsidR="00607EE0" w:rsidRPr="00D87B21">
        <w:t>New Series</w:t>
      </w:r>
      <w:r w:rsidRPr="00D87B21">
        <w:t xml:space="preserve">, 24, no. 94 (1939). </w:t>
      </w:r>
      <w:hyperlink r:id="rId12" w:history="1">
        <w:r w:rsidR="003B4ADB" w:rsidRPr="0012316A">
          <w:rPr>
            <w:rStyle w:val="Hyperlink"/>
            <w:color w:val="auto"/>
          </w:rPr>
          <w:t>http://www.jstor.org/stable/24401672</w:t>
        </w:r>
      </w:hyperlink>
      <w:r w:rsidRPr="0012316A">
        <w:t>.</w:t>
      </w:r>
    </w:p>
    <w:p w:rsidR="00FE3CBE" w:rsidRPr="00FE3CBE" w:rsidRDefault="00FE3CBE" w:rsidP="001D1114">
      <w:pPr>
        <w:tabs>
          <w:tab w:val="left" w:pos="720"/>
        </w:tabs>
        <w:spacing w:line="480" w:lineRule="auto"/>
        <w:ind w:left="720" w:hanging="720"/>
        <w:contextualSpacing/>
      </w:pPr>
      <w:r>
        <w:t xml:space="preserve">Bradford, William. </w:t>
      </w:r>
      <w:bookmarkStart w:id="54" w:name="_Hlk519430992"/>
      <w:r>
        <w:rPr>
          <w:i/>
        </w:rPr>
        <w:t>The Papers of James Madison</w:t>
      </w:r>
      <w:r>
        <w:t xml:space="preserve">. Vol 1. </w:t>
      </w:r>
      <w:r w:rsidR="00575934">
        <w:t>e</w:t>
      </w:r>
      <w:r>
        <w:t>d</w:t>
      </w:r>
      <w:r w:rsidR="00575934">
        <w:t>s</w:t>
      </w:r>
      <w:r>
        <w:t>. William T. Hutchinson and William M.E. Rachal. Chicago: University of Chicago Press, 1962</w:t>
      </w:r>
      <w:r w:rsidR="00575934">
        <w:t>.</w:t>
      </w:r>
    </w:p>
    <w:bookmarkEnd w:id="54"/>
    <w:p w:rsidR="00B92371" w:rsidRDefault="00B92371" w:rsidP="001D1114">
      <w:pPr>
        <w:tabs>
          <w:tab w:val="left" w:pos="720"/>
        </w:tabs>
        <w:spacing w:line="480" w:lineRule="auto"/>
        <w:ind w:left="720" w:hanging="720"/>
        <w:contextualSpacing/>
      </w:pPr>
      <w:r w:rsidRPr="00B92371">
        <w:t xml:space="preserve">Cohn, Norman. </w:t>
      </w:r>
      <w:r w:rsidRPr="00B92371">
        <w:rPr>
          <w:i/>
        </w:rPr>
        <w:t>The Pursuit of the Millennium:</w:t>
      </w:r>
      <w:r w:rsidRPr="00B92371">
        <w:t xml:space="preserve"> </w:t>
      </w:r>
      <w:r w:rsidRPr="00B92371">
        <w:rPr>
          <w:i/>
        </w:rPr>
        <w:t>Revolutionary Millenarians and Mystical Anarchists of the Middle Ages.</w:t>
      </w:r>
      <w:r w:rsidRPr="00B92371">
        <w:t xml:space="preserve"> New York: Oxford University Press, 1970.</w:t>
      </w:r>
    </w:p>
    <w:p w:rsidR="003B4ADB" w:rsidRDefault="003B4ADB" w:rsidP="001D1114">
      <w:pPr>
        <w:tabs>
          <w:tab w:val="left" w:pos="720"/>
        </w:tabs>
        <w:spacing w:line="480" w:lineRule="auto"/>
        <w:ind w:left="720" w:hanging="720"/>
        <w:contextualSpacing/>
        <w:rPr>
          <w:lang w:val="en"/>
        </w:rPr>
      </w:pPr>
      <w:bookmarkStart w:id="55" w:name="_Hlk514683643"/>
      <w:r w:rsidRPr="003B4ADB">
        <w:rPr>
          <w:lang w:val="en"/>
        </w:rPr>
        <w:t xml:space="preserve">Collier, David. "Understanding Process Tracing." </w:t>
      </w:r>
      <w:r w:rsidRPr="003B4ADB">
        <w:rPr>
          <w:i/>
          <w:iCs/>
          <w:lang w:val="en"/>
        </w:rPr>
        <w:t xml:space="preserve">PS: Political Science </w:t>
      </w:r>
      <w:r w:rsidR="00607EE0">
        <w:rPr>
          <w:i/>
          <w:iCs/>
          <w:lang w:val="en"/>
        </w:rPr>
        <w:t>a</w:t>
      </w:r>
      <w:r w:rsidRPr="003B4ADB">
        <w:rPr>
          <w:i/>
          <w:iCs/>
          <w:lang w:val="en"/>
        </w:rPr>
        <w:t>nd Politics</w:t>
      </w:r>
      <w:r w:rsidRPr="003B4ADB">
        <w:rPr>
          <w:lang w:val="en"/>
        </w:rPr>
        <w:t xml:space="preserve"> no. 4 (2011): 823. </w:t>
      </w:r>
      <w:r w:rsidRPr="003B4ADB">
        <w:rPr>
          <w:i/>
          <w:iCs/>
          <w:lang w:val="en"/>
        </w:rPr>
        <w:t>JSTOR Journals</w:t>
      </w:r>
      <w:r w:rsidRPr="003B4ADB">
        <w:rPr>
          <w:lang w:val="en"/>
        </w:rPr>
        <w:t>, EBSCO</w:t>
      </w:r>
      <w:r w:rsidRPr="003B4ADB">
        <w:rPr>
          <w:i/>
          <w:iCs/>
          <w:lang w:val="en"/>
        </w:rPr>
        <w:t>host</w:t>
      </w:r>
      <w:r w:rsidRPr="003B4ADB">
        <w:rPr>
          <w:lang w:val="en"/>
        </w:rPr>
        <w:t>.</w:t>
      </w:r>
    </w:p>
    <w:p w:rsidR="00561AD9" w:rsidRPr="00561AD9" w:rsidRDefault="00561AD9" w:rsidP="001D1114">
      <w:pPr>
        <w:tabs>
          <w:tab w:val="left" w:pos="720"/>
        </w:tabs>
        <w:spacing w:line="480" w:lineRule="auto"/>
        <w:ind w:left="720" w:hanging="720"/>
        <w:contextualSpacing/>
        <w:rPr>
          <w:i/>
          <w:lang w:val="en"/>
        </w:rPr>
      </w:pPr>
      <w:bookmarkStart w:id="56" w:name="_Hlk522993577"/>
      <w:bookmarkStart w:id="57" w:name="_Hlk519266774"/>
      <w:r>
        <w:rPr>
          <w:lang w:val="en"/>
        </w:rPr>
        <w:t xml:space="preserve">Cutts, Lucia Beverly. </w:t>
      </w:r>
      <w:r>
        <w:rPr>
          <w:i/>
          <w:lang w:val="en"/>
        </w:rPr>
        <w:t>Memoirs and Letters of Dolly Madison.</w:t>
      </w:r>
      <w:r>
        <w:rPr>
          <w:lang w:val="en"/>
        </w:rPr>
        <w:t xml:space="preserve"> Lexington: Big Byte Books, 2018</w:t>
      </w:r>
      <w:bookmarkEnd w:id="56"/>
      <w:r>
        <w:rPr>
          <w:lang w:val="en"/>
        </w:rPr>
        <w:t>.</w:t>
      </w:r>
      <w:r>
        <w:rPr>
          <w:i/>
          <w:lang w:val="en"/>
        </w:rPr>
        <w:t xml:space="preserve"> </w:t>
      </w:r>
    </w:p>
    <w:p w:rsidR="007506C5" w:rsidRDefault="007506C5" w:rsidP="001D1114">
      <w:pPr>
        <w:tabs>
          <w:tab w:val="left" w:pos="720"/>
        </w:tabs>
        <w:spacing w:line="480" w:lineRule="auto"/>
        <w:ind w:left="720" w:hanging="720"/>
        <w:contextualSpacing/>
      </w:pPr>
      <w:bookmarkStart w:id="58" w:name="_Hlk512527678"/>
      <w:bookmarkEnd w:id="57"/>
      <w:r w:rsidRPr="007506C5">
        <w:t xml:space="preserve">Diefendorf, Barbara.  “Prologue to a Massacre: Popular Unrest in Paris, 1557-1572.” </w:t>
      </w:r>
      <w:r w:rsidRPr="007506C5">
        <w:rPr>
          <w:i/>
        </w:rPr>
        <w:t>The American Historical Review</w:t>
      </w:r>
      <w:r w:rsidRPr="007506C5">
        <w:t xml:space="preserve">, Vol. 90, No. 5 (Dec., 1985). 1067-1091. Oxford University Press on behalf of the American Historical Association. </w:t>
      </w:r>
      <w:hyperlink r:id="rId13" w:history="1">
        <w:r w:rsidRPr="007506C5">
          <w:rPr>
            <w:rStyle w:val="Hyperlink"/>
            <w:color w:val="auto"/>
          </w:rPr>
          <w:t>http://www.jstor.org/stable/1859659</w:t>
        </w:r>
      </w:hyperlink>
      <w:r w:rsidRPr="007506C5">
        <w:t xml:space="preserve">. </w:t>
      </w:r>
      <w:bookmarkEnd w:id="58"/>
    </w:p>
    <w:p w:rsidR="00ED0EDA" w:rsidRPr="007506C5" w:rsidRDefault="00ED0EDA" w:rsidP="001D1114">
      <w:pPr>
        <w:tabs>
          <w:tab w:val="left" w:pos="720"/>
        </w:tabs>
        <w:spacing w:line="480" w:lineRule="auto"/>
        <w:ind w:left="720" w:hanging="720"/>
        <w:contextualSpacing/>
      </w:pPr>
      <w:r w:rsidRPr="00ED0EDA">
        <w:t>Drakeman,</w:t>
      </w:r>
      <w:r>
        <w:t xml:space="preserve"> </w:t>
      </w:r>
      <w:r w:rsidRPr="00ED0EDA">
        <w:t>Donald L. "Everson v. Board of Education" and the Quest for the Historical Establishment Clause</w:t>
      </w:r>
      <w:r>
        <w:t>.</w:t>
      </w:r>
      <w:r w:rsidRPr="00ED0EDA">
        <w:t xml:space="preserve"> </w:t>
      </w:r>
      <w:r w:rsidRPr="00ED0EDA">
        <w:rPr>
          <w:i/>
        </w:rPr>
        <w:t>The American Journal of Legal History</w:t>
      </w:r>
      <w:r w:rsidRPr="00ED0EDA">
        <w:t>, Vol. 49, No. 2 (Apr., 2007)</w:t>
      </w:r>
      <w:r>
        <w:t>.</w:t>
      </w:r>
      <w:r w:rsidRPr="00ED0EDA">
        <w:t xml:space="preserve"> pp. 119-168</w:t>
      </w:r>
      <w:r>
        <w:t>.</w:t>
      </w:r>
      <w:r w:rsidRPr="00ED0EDA">
        <w:t xml:space="preserve"> Oxford University Press</w:t>
      </w:r>
      <w:r w:rsidR="004118A4">
        <w:t>.</w:t>
      </w:r>
      <w:r>
        <w:t xml:space="preserve"> </w:t>
      </w:r>
      <w:r w:rsidRPr="00ED0EDA">
        <w:t xml:space="preserve"> </w:t>
      </w:r>
      <w:hyperlink r:id="rId14" w:history="1">
        <w:r w:rsidRPr="004118A4">
          <w:rPr>
            <w:rStyle w:val="Hyperlink"/>
            <w:color w:val="auto"/>
          </w:rPr>
          <w:t>https://www.jstor.org/stable/25470006</w:t>
        </w:r>
      </w:hyperlink>
      <w:r w:rsidR="004118A4">
        <w:t>.</w:t>
      </w:r>
    </w:p>
    <w:bookmarkEnd w:id="55"/>
    <w:p w:rsidR="00BA27D5" w:rsidRPr="00607EE0" w:rsidRDefault="00BA27D5" w:rsidP="001D1114">
      <w:pPr>
        <w:tabs>
          <w:tab w:val="left" w:pos="720"/>
        </w:tabs>
        <w:spacing w:line="480" w:lineRule="auto"/>
        <w:ind w:left="720" w:hanging="720"/>
        <w:contextualSpacing/>
      </w:pPr>
      <w:r w:rsidRPr="00BA27D5">
        <w:lastRenderedPageBreak/>
        <w:t>Edwards, John. "</w:t>
      </w:r>
      <w:r w:rsidR="00607EE0" w:rsidRPr="00BA27D5">
        <w:t xml:space="preserve">Battle </w:t>
      </w:r>
      <w:r w:rsidR="00607EE0">
        <w:t>f</w:t>
      </w:r>
      <w:r w:rsidR="00607EE0" w:rsidRPr="00BA27D5">
        <w:t>or England’s Soul</w:t>
      </w:r>
      <w:r w:rsidRPr="00BA27D5">
        <w:t xml:space="preserve">, 1553–1558." In </w:t>
      </w:r>
      <w:r w:rsidRPr="00BA27D5">
        <w:rPr>
          <w:i/>
          <w:iCs/>
        </w:rPr>
        <w:t>Mary I</w:t>
      </w:r>
      <w:r w:rsidRPr="00BA27D5">
        <w:t xml:space="preserve">. Yale University Press, 2011. </w:t>
      </w:r>
      <w:hyperlink r:id="rId15" w:history="1">
        <w:r w:rsidR="000D08B8" w:rsidRPr="00607EE0">
          <w:rPr>
            <w:rStyle w:val="Hyperlink"/>
            <w:color w:val="auto"/>
          </w:rPr>
          <w:t>http://www.jstor.org/stable/j.ctt1nq95m.15</w:t>
        </w:r>
      </w:hyperlink>
      <w:r w:rsidRPr="00607EE0">
        <w:t>.</w:t>
      </w:r>
    </w:p>
    <w:p w:rsidR="000D08B8" w:rsidRDefault="000D08B8" w:rsidP="000D08B8">
      <w:pPr>
        <w:tabs>
          <w:tab w:val="left" w:pos="720"/>
        </w:tabs>
        <w:spacing w:line="480" w:lineRule="auto"/>
        <w:ind w:left="720" w:hanging="720"/>
        <w:contextualSpacing/>
      </w:pPr>
      <w:r w:rsidRPr="000D08B8">
        <w:t>Epstein</w:t>
      </w:r>
      <w:r>
        <w:t>,</w:t>
      </w:r>
      <w:r w:rsidRPr="000D08B8">
        <w:t xml:space="preserve"> Lee and Thomas G. Walker</w:t>
      </w:r>
      <w:r>
        <w:t>.</w:t>
      </w:r>
      <w:r w:rsidRPr="000D08B8">
        <w:t xml:space="preserve"> </w:t>
      </w:r>
      <w:r w:rsidRPr="000D08B8">
        <w:rPr>
          <w:i/>
        </w:rPr>
        <w:t>Constitutional Law for a Changing America: Rights, Liberties, and Justice</w:t>
      </w:r>
      <w:r>
        <w:t>.</w:t>
      </w:r>
      <w:r w:rsidRPr="000D08B8">
        <w:t xml:space="preserve"> 9</w:t>
      </w:r>
      <w:r w:rsidRPr="000D08B8">
        <w:rPr>
          <w:vertAlign w:val="superscript"/>
        </w:rPr>
        <w:t>th</w:t>
      </w:r>
      <w:r w:rsidRPr="000D08B8">
        <w:t xml:space="preserve"> ed. Los Angeles: Sage, 2016</w:t>
      </w:r>
      <w:r>
        <w:t>.</w:t>
      </w:r>
      <w:r w:rsidRPr="000D08B8">
        <w:t xml:space="preserve"> </w:t>
      </w:r>
    </w:p>
    <w:p w:rsidR="000D08B8" w:rsidRPr="00BA27D5" w:rsidRDefault="005328F9" w:rsidP="005328F9">
      <w:pPr>
        <w:tabs>
          <w:tab w:val="left" w:pos="720"/>
        </w:tabs>
        <w:spacing w:line="480" w:lineRule="auto"/>
        <w:ind w:left="720" w:hanging="720"/>
        <w:contextualSpacing/>
      </w:pPr>
      <w:r w:rsidRPr="005328F9">
        <w:t>Fleet, Elizabeth</w:t>
      </w:r>
      <w:r>
        <w:t>.</w:t>
      </w:r>
      <w:r w:rsidRPr="005328F9">
        <w:t xml:space="preserve"> “Madison's Detached Memoranda" </w:t>
      </w:r>
      <w:r w:rsidRPr="005328F9">
        <w:rPr>
          <w:i/>
        </w:rPr>
        <w:t>The William and Mary Quarterly</w:t>
      </w:r>
      <w:r w:rsidRPr="005328F9">
        <w:t>, Vol. 3, No. 4 (Oct., 1946)</w:t>
      </w:r>
      <w:r>
        <w:t>.</w:t>
      </w:r>
      <w:r w:rsidRPr="005328F9">
        <w:t xml:space="preserve"> </w:t>
      </w:r>
      <w:r>
        <w:t xml:space="preserve">Williamsburg: </w:t>
      </w:r>
      <w:r w:rsidRPr="005328F9">
        <w:t>Omohundro Institute of Early American History and Culture</w:t>
      </w:r>
      <w:r>
        <w:t>.</w:t>
      </w:r>
      <w:r w:rsidRPr="005328F9">
        <w:t xml:space="preserve"> </w:t>
      </w:r>
      <w:hyperlink r:id="rId16" w:history="1">
        <w:r w:rsidR="004118A4" w:rsidRPr="004118A4">
          <w:rPr>
            <w:rStyle w:val="Hyperlink"/>
            <w:color w:val="auto"/>
          </w:rPr>
          <w:t>http://www.jstor.org/stable/1921903</w:t>
        </w:r>
      </w:hyperlink>
      <w:r w:rsidR="004118A4" w:rsidRPr="004118A4">
        <w:t>.</w:t>
      </w:r>
    </w:p>
    <w:p w:rsidR="002B7244" w:rsidRDefault="00BA27D5" w:rsidP="001D1114">
      <w:pPr>
        <w:tabs>
          <w:tab w:val="left" w:pos="720"/>
        </w:tabs>
        <w:spacing w:line="480" w:lineRule="auto"/>
        <w:ind w:left="720" w:hanging="720"/>
        <w:contextualSpacing/>
      </w:pPr>
      <w:r w:rsidRPr="00BA27D5">
        <w:t xml:space="preserve">Foxe, John. </w:t>
      </w:r>
      <w:r w:rsidRPr="00BA27D5">
        <w:rPr>
          <w:i/>
        </w:rPr>
        <w:t>Fox's Book of Martyrs</w:t>
      </w:r>
      <w:r w:rsidRPr="00BA27D5">
        <w:t xml:space="preserve">. </w:t>
      </w:r>
      <w:r w:rsidR="00575934">
        <w:t>ed.</w:t>
      </w:r>
      <w:r w:rsidRPr="00BA27D5">
        <w:t xml:space="preserve"> William Byron Forbush. PC Study Bible formatted electronic database Copyright © 2003, 2006 by Biblesoft, Inc.</w:t>
      </w:r>
    </w:p>
    <w:p w:rsidR="00BD349F" w:rsidRDefault="00BD349F" w:rsidP="001D1114">
      <w:pPr>
        <w:tabs>
          <w:tab w:val="left" w:pos="720"/>
        </w:tabs>
        <w:spacing w:line="480" w:lineRule="auto"/>
        <w:ind w:left="720" w:hanging="720"/>
        <w:contextualSpacing/>
      </w:pPr>
      <w:r w:rsidRPr="00BD349F">
        <w:t xml:space="preserve">Frost, J. William. "Pennsylvania Institutes Religious Liberty, 1682-1860." </w:t>
      </w:r>
      <w:r w:rsidRPr="00BD349F">
        <w:rPr>
          <w:i/>
          <w:iCs/>
        </w:rPr>
        <w:t>The Pennsylvania Magazine of History and Biography</w:t>
      </w:r>
      <w:r w:rsidRPr="00BD349F">
        <w:t xml:space="preserve"> 112, no. 3 (1988): 323-47. </w:t>
      </w:r>
      <w:hyperlink r:id="rId17" w:history="1">
        <w:r w:rsidR="00C95233" w:rsidRPr="004118A4">
          <w:rPr>
            <w:rStyle w:val="Hyperlink"/>
            <w:color w:val="auto"/>
          </w:rPr>
          <w:t>http://www.jstor.org/stable/20092231</w:t>
        </w:r>
      </w:hyperlink>
      <w:r w:rsidRPr="004118A4">
        <w:t>.</w:t>
      </w:r>
    </w:p>
    <w:p w:rsidR="00C95233" w:rsidRDefault="00C95233" w:rsidP="004118A4">
      <w:pPr>
        <w:tabs>
          <w:tab w:val="left" w:pos="720"/>
        </w:tabs>
        <w:spacing w:line="480" w:lineRule="auto"/>
        <w:ind w:left="720" w:hanging="720"/>
        <w:contextualSpacing/>
      </w:pPr>
      <w:r w:rsidRPr="00C95233">
        <w:t>Goldie, Mark</w:t>
      </w:r>
      <w:r>
        <w:t>.</w:t>
      </w:r>
      <w:r w:rsidRPr="00C95233">
        <w:t xml:space="preserve"> </w:t>
      </w:r>
      <w:r w:rsidRPr="00C95233">
        <w:rPr>
          <w:i/>
          <w:iCs/>
        </w:rPr>
        <w:t>A Letter concerning Toleration and Other Writings,</w:t>
      </w:r>
      <w:r w:rsidRPr="00C95233">
        <w:t xml:space="preserve"> edited and with an Introduction by Mark Goldie</w:t>
      </w:r>
      <w:r>
        <w:t xml:space="preserve">. </w:t>
      </w:r>
      <w:r w:rsidRPr="00C95233">
        <w:t>Indianapolis: Liberty Fund, 2010</w:t>
      </w:r>
      <w:r>
        <w:t>.</w:t>
      </w:r>
      <w:r w:rsidRPr="00C95233">
        <w:t xml:space="preserve"> http://oll.libertyfund.org/titles/2375.</w:t>
      </w:r>
    </w:p>
    <w:p w:rsidR="00AE388B" w:rsidRDefault="00AE388B" w:rsidP="001D1114">
      <w:pPr>
        <w:tabs>
          <w:tab w:val="left" w:pos="720"/>
        </w:tabs>
        <w:spacing w:line="480" w:lineRule="auto"/>
        <w:ind w:left="720" w:hanging="720"/>
        <w:contextualSpacing/>
        <w:rPr>
          <w:rStyle w:val="Hyperlink"/>
          <w:color w:val="auto"/>
        </w:rPr>
      </w:pPr>
      <w:r w:rsidRPr="00AE388B">
        <w:t xml:space="preserve">Gordon, Richard. "Religion." </w:t>
      </w:r>
      <w:r w:rsidRPr="00AE388B">
        <w:rPr>
          <w:i/>
          <w:iCs/>
        </w:rPr>
        <w:t>The Edinburgh Companion to Ancient Greece and Rome</w:t>
      </w:r>
      <w:r w:rsidRPr="00AE388B">
        <w:t xml:space="preserve">, </w:t>
      </w:r>
      <w:r w:rsidR="00575934">
        <w:t>e</w:t>
      </w:r>
      <w:r w:rsidRPr="00AE388B">
        <w:t>d</w:t>
      </w:r>
      <w:r w:rsidR="00575934">
        <w:t>s.</w:t>
      </w:r>
      <w:r w:rsidRPr="00AE388B">
        <w:t xml:space="preserve"> Edward</w:t>
      </w:r>
      <w:r w:rsidR="00575934" w:rsidRPr="00575934">
        <w:t xml:space="preserve"> Bispham</w:t>
      </w:r>
      <w:r w:rsidRPr="00AE388B">
        <w:t xml:space="preserve">, </w:t>
      </w:r>
      <w:r w:rsidR="00575934" w:rsidRPr="00575934">
        <w:t xml:space="preserve">Thomas </w:t>
      </w:r>
      <w:r w:rsidRPr="00AE388B">
        <w:t xml:space="preserve">Harrison, and </w:t>
      </w:r>
      <w:r w:rsidR="00575934" w:rsidRPr="00575934">
        <w:t>Brian A</w:t>
      </w:r>
      <w:r w:rsidR="00575934">
        <w:t>.</w:t>
      </w:r>
      <w:r w:rsidR="00575934" w:rsidRPr="00575934">
        <w:t xml:space="preserve"> </w:t>
      </w:r>
      <w:r w:rsidRPr="00AE388B">
        <w:t xml:space="preserve">Sparkes. Edinburgh: Edinburgh University Press, 2010. </w:t>
      </w:r>
      <w:hyperlink r:id="rId18" w:history="1">
        <w:r w:rsidR="009A1222" w:rsidRPr="00B23D46">
          <w:rPr>
            <w:rStyle w:val="Hyperlink"/>
            <w:color w:val="auto"/>
          </w:rPr>
          <w:t>http://www.jstor.org/stable/10.3366/j.ctt1g0b03m.8</w:t>
        </w:r>
      </w:hyperlink>
      <w:r w:rsidR="004118A4">
        <w:rPr>
          <w:rStyle w:val="Hyperlink"/>
          <w:color w:val="auto"/>
        </w:rPr>
        <w:t>.</w:t>
      </w:r>
    </w:p>
    <w:p w:rsidR="00D80292" w:rsidRDefault="00D80292" w:rsidP="001D1114">
      <w:pPr>
        <w:tabs>
          <w:tab w:val="left" w:pos="720"/>
        </w:tabs>
        <w:spacing w:line="480" w:lineRule="auto"/>
        <w:ind w:left="720" w:hanging="720"/>
        <w:contextualSpacing/>
      </w:pPr>
      <w:r w:rsidRPr="00D80292">
        <w:t>Grau, Craig</w:t>
      </w:r>
      <w:r>
        <w:t>.</w:t>
      </w:r>
      <w:r w:rsidRPr="00D80292">
        <w:t xml:space="preserve"> “More Than an Intellectual Scribe: The Political Drives and Traits of James Madison.” </w:t>
      </w:r>
      <w:r w:rsidRPr="00D80292">
        <w:rPr>
          <w:i/>
        </w:rPr>
        <w:t>James Madison: Philosopher, Founder, and Statesman.</w:t>
      </w:r>
      <w:r w:rsidRPr="00D80292">
        <w:t xml:space="preserve"> eds. John R. Vile, William D. Pederson, and Frank J. Williams</w:t>
      </w:r>
      <w:r>
        <w:t xml:space="preserve">, 21-34. </w:t>
      </w:r>
      <w:r w:rsidRPr="00D80292">
        <w:t>Athens: Ohio University Press, 2008</w:t>
      </w:r>
      <w:r>
        <w:t>.</w:t>
      </w:r>
    </w:p>
    <w:p w:rsidR="00302873" w:rsidRDefault="00302873" w:rsidP="004118A4">
      <w:pPr>
        <w:tabs>
          <w:tab w:val="left" w:pos="720"/>
        </w:tabs>
        <w:spacing w:line="480" w:lineRule="auto"/>
        <w:ind w:left="720" w:hanging="720"/>
        <w:contextualSpacing/>
      </w:pPr>
      <w:r w:rsidRPr="00302873">
        <w:lastRenderedPageBreak/>
        <w:t xml:space="preserve">Haug-Moritz, Gabriele. "The Holy Roman Empire, the Schmalkald League, and the Idea of Confessional Nation-Building." </w:t>
      </w:r>
      <w:r w:rsidRPr="00302873">
        <w:rPr>
          <w:i/>
          <w:iCs/>
        </w:rPr>
        <w:t>Proceedings of the American Philosophical Society</w:t>
      </w:r>
      <w:r w:rsidRPr="00302873">
        <w:t xml:space="preserve"> 152, no. 4 (2008): 427-39. http://www.jstor.org/stable/40541602.</w:t>
      </w:r>
    </w:p>
    <w:p w:rsidR="009A1222" w:rsidRDefault="009A1222" w:rsidP="001D1114">
      <w:pPr>
        <w:tabs>
          <w:tab w:val="left" w:pos="720"/>
        </w:tabs>
        <w:spacing w:line="480" w:lineRule="auto"/>
        <w:ind w:left="720" w:hanging="720"/>
        <w:contextualSpacing/>
      </w:pPr>
      <w:bookmarkStart w:id="59" w:name="_Hlk503532107"/>
      <w:r w:rsidRPr="009A1222">
        <w:t xml:space="preserve">Heide, Gale. "Theology Becomes Politics: Constantine and the Nicene Council." In </w:t>
      </w:r>
      <w:r w:rsidRPr="009A1222">
        <w:rPr>
          <w:i/>
          <w:iCs/>
        </w:rPr>
        <w:t>Timeless Truth in the Hands of History: A Short History of System in Theology</w:t>
      </w:r>
      <w:r w:rsidRPr="009A1222">
        <w:t xml:space="preserve">. Cambridge: James Clarke &amp; Co, </w:t>
      </w:r>
      <w:r w:rsidR="00812A35">
        <w:t>(</w:t>
      </w:r>
      <w:r w:rsidRPr="009A1222">
        <w:t>2012</w:t>
      </w:r>
      <w:r w:rsidR="00812A35">
        <w:t xml:space="preserve">):48-67, </w:t>
      </w:r>
      <w:hyperlink r:id="rId19" w:history="1">
        <w:r w:rsidR="00812A35" w:rsidRPr="004118A4">
          <w:rPr>
            <w:rStyle w:val="Hyperlink"/>
            <w:color w:val="auto"/>
          </w:rPr>
          <w:t>http://www.jstor.org/stable/j.ctt1cgf0g9.7</w:t>
        </w:r>
      </w:hyperlink>
      <w:r w:rsidRPr="004118A4">
        <w:t>.</w:t>
      </w:r>
    </w:p>
    <w:bookmarkEnd w:id="53"/>
    <w:bookmarkEnd w:id="59"/>
    <w:p w:rsidR="00204E47" w:rsidRDefault="008015F0" w:rsidP="001D1114">
      <w:pPr>
        <w:tabs>
          <w:tab w:val="left" w:pos="720"/>
        </w:tabs>
        <w:spacing w:line="480" w:lineRule="auto"/>
        <w:ind w:left="720" w:hanging="720"/>
        <w:contextualSpacing/>
      </w:pPr>
      <w:r w:rsidRPr="008015F0">
        <w:t xml:space="preserve">Hillerbrand, Hans J. </w:t>
      </w:r>
      <w:r w:rsidRPr="008015F0">
        <w:rPr>
          <w:i/>
        </w:rPr>
        <w:t>The Division of Christendom</w:t>
      </w:r>
      <w:r w:rsidR="005A770B" w:rsidRPr="005A770B">
        <w:rPr>
          <w:i/>
        </w:rPr>
        <w:t>: Christianity in the Sixteenth Century</w:t>
      </w:r>
      <w:r>
        <w:rPr>
          <w:i/>
        </w:rPr>
        <w:t>.</w:t>
      </w:r>
      <w:r w:rsidRPr="008015F0">
        <w:rPr>
          <w:i/>
        </w:rPr>
        <w:t xml:space="preserve"> </w:t>
      </w:r>
      <w:r w:rsidRPr="008015F0">
        <w:t>Louisville: Westminster John Knox Press, 2007</w:t>
      </w:r>
      <w:r w:rsidR="005A770B">
        <w:t>.</w:t>
      </w:r>
    </w:p>
    <w:p w:rsidR="005C06EB" w:rsidRDefault="005C06EB" w:rsidP="001D1114">
      <w:pPr>
        <w:tabs>
          <w:tab w:val="left" w:pos="720"/>
        </w:tabs>
        <w:spacing w:line="480" w:lineRule="auto"/>
        <w:ind w:left="720" w:hanging="720"/>
        <w:contextualSpacing/>
      </w:pPr>
      <w:r w:rsidRPr="005C06EB">
        <w:t>Horner, Inman</w:t>
      </w:r>
      <w:r>
        <w:t>.</w:t>
      </w:r>
      <w:r w:rsidRPr="005C06EB">
        <w:t xml:space="preserve"> “Editorial Note,” </w:t>
      </w:r>
      <w:r w:rsidRPr="005C06EB">
        <w:rPr>
          <w:i/>
        </w:rPr>
        <w:t>The Papers of James Madison</w:t>
      </w:r>
      <w:r>
        <w:t>.</w:t>
      </w:r>
      <w:r w:rsidRPr="005C06EB">
        <w:t xml:space="preserve"> vol 1, ed</w:t>
      </w:r>
      <w:r w:rsidR="00575934">
        <w:t>s</w:t>
      </w:r>
      <w:r w:rsidRPr="005C06EB">
        <w:t>. William T. Hutchinson and William M. E. Rachal</w:t>
      </w:r>
      <w:r>
        <w:t xml:space="preserve">. </w:t>
      </w:r>
      <w:r w:rsidRPr="005C06EB">
        <w:t>Chicago: University of Chicago Press, 1962</w:t>
      </w:r>
    </w:p>
    <w:p w:rsidR="001B2A8B" w:rsidRDefault="001B2A8B" w:rsidP="001D1114">
      <w:pPr>
        <w:tabs>
          <w:tab w:val="left" w:pos="720"/>
        </w:tabs>
        <w:spacing w:line="480" w:lineRule="auto"/>
        <w:ind w:left="720" w:hanging="720"/>
        <w:contextualSpacing/>
      </w:pPr>
      <w:bookmarkStart w:id="60" w:name="_Hlk514683352"/>
      <w:r w:rsidRPr="001B2A8B">
        <w:t>Hsia, R. Po-Chia</w:t>
      </w:r>
      <w:r>
        <w:t>.</w:t>
      </w:r>
      <w:r w:rsidRPr="001B2A8B">
        <w:t xml:space="preserve"> </w:t>
      </w:r>
      <w:r w:rsidRPr="001B2A8B">
        <w:rPr>
          <w:i/>
        </w:rPr>
        <w:t>Social Discipline in the Reformation: Central Europe 1550-1750</w:t>
      </w:r>
      <w:r>
        <w:rPr>
          <w:i/>
        </w:rPr>
        <w:t>.</w:t>
      </w:r>
      <w:r w:rsidRPr="001B2A8B">
        <w:t xml:space="preserve"> New York: Routledge, 1992</w:t>
      </w:r>
      <w:r w:rsidR="005A770B">
        <w:t>.</w:t>
      </w:r>
    </w:p>
    <w:p w:rsidR="00630FDF" w:rsidRDefault="00630FDF" w:rsidP="001D1114">
      <w:pPr>
        <w:tabs>
          <w:tab w:val="left" w:pos="720"/>
        </w:tabs>
        <w:spacing w:line="480" w:lineRule="auto"/>
        <w:ind w:left="720" w:hanging="720"/>
        <w:contextualSpacing/>
      </w:pPr>
      <w:r w:rsidRPr="00630FDF">
        <w:t>Hume, David</w:t>
      </w:r>
      <w:r>
        <w:t>.</w:t>
      </w:r>
      <w:r w:rsidRPr="00630FDF">
        <w:t xml:space="preserve"> </w:t>
      </w:r>
      <w:r w:rsidRPr="00630FDF">
        <w:rPr>
          <w:i/>
          <w:iCs/>
        </w:rPr>
        <w:t>The History of England from the Invasion of Julius Caesar to the Revolution in 1688,</w:t>
      </w:r>
      <w:r w:rsidRPr="00630FDF">
        <w:t xml:space="preserve"> Foreword by William B. Todd, 6 vols. Indianapolis: Liberty Fund 1983. Vol. 4. http://oll.libertyfund.org/titles/79</w:t>
      </w:r>
      <w:r w:rsidR="004118A4">
        <w:t>1.</w:t>
      </w:r>
    </w:p>
    <w:p w:rsidR="00540617" w:rsidRPr="00540617" w:rsidRDefault="00540617" w:rsidP="001D1114">
      <w:pPr>
        <w:tabs>
          <w:tab w:val="left" w:pos="720"/>
        </w:tabs>
        <w:spacing w:line="480" w:lineRule="auto"/>
        <w:ind w:left="720" w:hanging="720"/>
        <w:contextualSpacing/>
      </w:pPr>
      <w:r>
        <w:t>Hunt, Ga</w:t>
      </w:r>
      <w:r w:rsidR="0076444E">
        <w:t>i</w:t>
      </w:r>
      <w:r>
        <w:t xml:space="preserve">llard. </w:t>
      </w:r>
      <w:r>
        <w:rPr>
          <w:i/>
        </w:rPr>
        <w:t>The Life of James Madison.</w:t>
      </w:r>
      <w:r>
        <w:t xml:space="preserve"> New York: Russell &amp; Russell, 1902.</w:t>
      </w:r>
    </w:p>
    <w:p w:rsidR="00232105" w:rsidRDefault="00A56C60" w:rsidP="001D1114">
      <w:pPr>
        <w:tabs>
          <w:tab w:val="left" w:pos="720"/>
        </w:tabs>
        <w:spacing w:line="480" w:lineRule="auto"/>
        <w:ind w:left="720" w:hanging="720"/>
        <w:contextualSpacing/>
      </w:pPr>
      <w:bookmarkStart w:id="61" w:name="_Hlk515206919"/>
      <w:r w:rsidRPr="00A56C60">
        <w:t xml:space="preserve">ImmenköTter, Herbert, and Hans J. Hillerbrand. "Augsburg, Peace of." In </w:t>
      </w:r>
      <w:r w:rsidRPr="00A56C60">
        <w:rPr>
          <w:i/>
          <w:iCs/>
        </w:rPr>
        <w:t>The Oxford Encyclopedia of the Reformation</w:t>
      </w:r>
      <w:r w:rsidRPr="00A56C60">
        <w:t>.</w:t>
      </w:r>
      <w:r w:rsidR="00C22181">
        <w:t xml:space="preserve"> </w:t>
      </w:r>
      <w:r w:rsidRPr="00A56C60">
        <w:t>Oxford University Press, 1996. http://www.oxfordreference.com.ezproxy.mtsu.edu/view/10.1093/acref/9780195064933.001.0001/acref-9780195064933-e-0076.</w:t>
      </w:r>
    </w:p>
    <w:bookmarkEnd w:id="60"/>
    <w:bookmarkEnd w:id="61"/>
    <w:p w:rsidR="00350225" w:rsidRPr="00B23D46" w:rsidRDefault="00350225" w:rsidP="001D1114">
      <w:pPr>
        <w:tabs>
          <w:tab w:val="left" w:pos="720"/>
        </w:tabs>
        <w:spacing w:line="480" w:lineRule="auto"/>
        <w:ind w:left="720" w:hanging="720"/>
        <w:contextualSpacing/>
      </w:pPr>
      <w:r w:rsidRPr="00350225">
        <w:lastRenderedPageBreak/>
        <w:t xml:space="preserve">"John Wycliffe." </w:t>
      </w:r>
      <w:r w:rsidRPr="00350225">
        <w:rPr>
          <w:i/>
          <w:iCs/>
        </w:rPr>
        <w:t>The Catholic Layman</w:t>
      </w:r>
      <w:r w:rsidRPr="00350225">
        <w:t xml:space="preserve"> 5, no. 59 (1856): 121-23. </w:t>
      </w:r>
      <w:hyperlink r:id="rId20" w:history="1">
        <w:r w:rsidRPr="00C83382">
          <w:rPr>
            <w:rStyle w:val="Hyperlink"/>
            <w:color w:val="auto"/>
          </w:rPr>
          <w:t>http://www.jstor.org/stable/30066639</w:t>
        </w:r>
      </w:hyperlink>
      <w:r w:rsidRPr="00C83382">
        <w:t>.</w:t>
      </w:r>
    </w:p>
    <w:p w:rsidR="00AE388B" w:rsidRDefault="00204E47" w:rsidP="001D1114">
      <w:pPr>
        <w:tabs>
          <w:tab w:val="left" w:pos="720"/>
        </w:tabs>
        <w:spacing w:line="480" w:lineRule="auto"/>
        <w:ind w:left="720" w:hanging="720"/>
        <w:contextualSpacing/>
      </w:pPr>
      <w:r w:rsidRPr="00204E47">
        <w:t xml:space="preserve">Kaplan, Benjamin J. </w:t>
      </w:r>
      <w:r w:rsidRPr="00204E47">
        <w:rPr>
          <w:i/>
        </w:rPr>
        <w:t>Divided by Faith: Religious Conflict and the Practice of Toleration in Early Modern Europe</w:t>
      </w:r>
      <w:r>
        <w:rPr>
          <w:i/>
        </w:rPr>
        <w:t>.</w:t>
      </w:r>
      <w:r w:rsidRPr="00204E47">
        <w:rPr>
          <w:i/>
        </w:rPr>
        <w:t xml:space="preserve"> </w:t>
      </w:r>
      <w:r w:rsidRPr="00204E47">
        <w:t>Cambridge: The Belknap Press, 2007.</w:t>
      </w:r>
    </w:p>
    <w:p w:rsidR="00542635" w:rsidRPr="00542635" w:rsidRDefault="00542635" w:rsidP="001D1114">
      <w:pPr>
        <w:tabs>
          <w:tab w:val="left" w:pos="720"/>
        </w:tabs>
        <w:spacing w:line="480" w:lineRule="auto"/>
        <w:ind w:left="720" w:hanging="720"/>
        <w:contextualSpacing/>
      </w:pPr>
      <w:r>
        <w:t xml:space="preserve">Kasper, Eric T. </w:t>
      </w:r>
      <w:r>
        <w:rPr>
          <w:i/>
        </w:rPr>
        <w:t>To Secure the Liberty of the People: James Madison’s Bill of Rights and the Supreme Court’s Interpretation.</w:t>
      </w:r>
      <w:r>
        <w:t xml:space="preserve"> DeKalb: Northern Illinois University Press, 2010.</w:t>
      </w:r>
    </w:p>
    <w:p w:rsidR="00653E97" w:rsidRDefault="00653E97" w:rsidP="001D1114">
      <w:pPr>
        <w:tabs>
          <w:tab w:val="left" w:pos="720"/>
        </w:tabs>
        <w:spacing w:line="480" w:lineRule="auto"/>
        <w:ind w:left="720" w:hanging="720"/>
        <w:contextualSpacing/>
      </w:pPr>
      <w:bookmarkStart w:id="62" w:name="_Hlk514867060"/>
      <w:r>
        <w:t xml:space="preserve">Knecht, Robert J. </w:t>
      </w:r>
      <w:r>
        <w:rPr>
          <w:i/>
        </w:rPr>
        <w:t>Essential Histories: The French Religious Wars1562-98.</w:t>
      </w:r>
      <w:r>
        <w:t xml:space="preserve"> Long Island City: Osprey Publishing, 2002.</w:t>
      </w:r>
    </w:p>
    <w:p w:rsidR="00561AD9" w:rsidRPr="00561AD9" w:rsidRDefault="00561AD9" w:rsidP="001D1114">
      <w:pPr>
        <w:tabs>
          <w:tab w:val="left" w:pos="720"/>
        </w:tabs>
        <w:spacing w:line="480" w:lineRule="auto"/>
        <w:ind w:left="720" w:hanging="720"/>
        <w:contextualSpacing/>
      </w:pPr>
      <w:r>
        <w:t xml:space="preserve">Locke, John. </w:t>
      </w:r>
      <w:r>
        <w:rPr>
          <w:i/>
        </w:rPr>
        <w:t>Two Treatise of Government and A Letter Concerning Toleration.</w:t>
      </w:r>
      <w:r>
        <w:t xml:space="preserve"> Lexington: Digireads.com Publishing, 2015.</w:t>
      </w:r>
    </w:p>
    <w:bookmarkEnd w:id="62"/>
    <w:p w:rsidR="00D66116" w:rsidRDefault="00D66116" w:rsidP="001D1114">
      <w:pPr>
        <w:tabs>
          <w:tab w:val="left" w:pos="720"/>
        </w:tabs>
        <w:spacing w:line="480" w:lineRule="auto"/>
        <w:ind w:left="720" w:hanging="720"/>
        <w:contextualSpacing/>
      </w:pPr>
      <w:r w:rsidRPr="00D66116">
        <w:t>Luther, Martin</w:t>
      </w:r>
      <w:r>
        <w:t>.</w:t>
      </w:r>
      <w:r w:rsidRPr="00D66116">
        <w:rPr>
          <w:i/>
        </w:rPr>
        <w:t xml:space="preserve"> A Short Exposition of Dr. Martin Luther’s Small Catechism: English-German Edition</w:t>
      </w:r>
      <w:r>
        <w:rPr>
          <w:i/>
        </w:rPr>
        <w:t>.</w:t>
      </w:r>
      <w:r w:rsidRPr="00D66116">
        <w:t xml:space="preserve"> St. Louis: Concordia, 1912</w:t>
      </w:r>
      <w:r>
        <w:t>.</w:t>
      </w:r>
    </w:p>
    <w:p w:rsidR="00B454FE" w:rsidRDefault="009E003B" w:rsidP="001D1114">
      <w:pPr>
        <w:tabs>
          <w:tab w:val="left" w:pos="720"/>
        </w:tabs>
        <w:spacing w:line="480" w:lineRule="auto"/>
        <w:ind w:left="720" w:hanging="720"/>
        <w:contextualSpacing/>
      </w:pPr>
      <w:r w:rsidRPr="009E003B">
        <w:t>Madison, James</w:t>
      </w:r>
      <w:r>
        <w:t>.</w:t>
      </w:r>
      <w:r w:rsidRPr="009E003B">
        <w:t xml:space="preserve"> </w:t>
      </w:r>
      <w:bookmarkStart w:id="63" w:name="_Hlk519187080"/>
      <w:r w:rsidRPr="009E003B">
        <w:rPr>
          <w:i/>
          <w:iCs/>
        </w:rPr>
        <w:t>The Writings of James Madison, comprising his Public Papers and his Private Correspondence, including his numerous letters and documents now for the first time printed</w:t>
      </w:r>
      <w:r>
        <w:rPr>
          <w:i/>
          <w:iCs/>
        </w:rPr>
        <w:t>.</w:t>
      </w:r>
      <w:r w:rsidRPr="009E003B">
        <w:t xml:space="preserve"> ed. Gaillard Hunt</w:t>
      </w:r>
      <w:r>
        <w:t>.</w:t>
      </w:r>
      <w:r w:rsidRPr="009E003B">
        <w:t xml:space="preserve"> New York: G.P. Putnam’s Sons, 1900. 9 vols. Online from http://oll.libertyfund.org/titles/1933</w:t>
      </w:r>
      <w:bookmarkEnd w:id="63"/>
      <w:r w:rsidR="008C6537">
        <w:t>.</w:t>
      </w:r>
    </w:p>
    <w:p w:rsidR="00525F10" w:rsidRDefault="00525F10" w:rsidP="001D1114">
      <w:pPr>
        <w:tabs>
          <w:tab w:val="left" w:pos="720"/>
        </w:tabs>
        <w:spacing w:line="480" w:lineRule="auto"/>
        <w:ind w:left="720" w:hanging="720"/>
        <w:contextualSpacing/>
      </w:pPr>
      <w:r>
        <w:t>—</w:t>
      </w:r>
      <w:r w:rsidRPr="00525F10">
        <w:rPr>
          <w:i/>
        </w:rPr>
        <w:t xml:space="preserve"> The Papers of James Madison</w:t>
      </w:r>
      <w:r w:rsidRPr="00525F10">
        <w:t xml:space="preserve">. Vol 1. </w:t>
      </w:r>
      <w:r w:rsidR="003C25F3">
        <w:t>e</w:t>
      </w:r>
      <w:r w:rsidRPr="00525F10">
        <w:t>d</w:t>
      </w:r>
      <w:r w:rsidR="003C25F3">
        <w:t>s</w:t>
      </w:r>
      <w:r w:rsidRPr="00525F10">
        <w:t>. William T. Hutchinson and William M.E. Rachal. Chicago: University of Chicago Press, 1962</w:t>
      </w:r>
      <w:r w:rsidR="008C6537">
        <w:t>.</w:t>
      </w:r>
    </w:p>
    <w:p w:rsidR="0037256F" w:rsidRPr="008C6537" w:rsidRDefault="0037256F" w:rsidP="001D1114">
      <w:pPr>
        <w:tabs>
          <w:tab w:val="left" w:pos="720"/>
        </w:tabs>
        <w:spacing w:line="480" w:lineRule="auto"/>
        <w:ind w:left="720" w:hanging="720"/>
        <w:contextualSpacing/>
      </w:pPr>
      <w:r>
        <w:t>—</w:t>
      </w:r>
      <w:bookmarkStart w:id="64" w:name="_Hlk522996158"/>
      <w:r w:rsidRPr="0037256F">
        <w:rPr>
          <w:i/>
        </w:rPr>
        <w:t xml:space="preserve">The Federalist Papers. </w:t>
      </w:r>
      <w:r w:rsidR="001B7678">
        <w:rPr>
          <w:i/>
        </w:rPr>
        <w:t>No</w:t>
      </w:r>
      <w:r w:rsidRPr="0037256F">
        <w:rPr>
          <w:i/>
        </w:rPr>
        <w:t>s</w:t>
      </w:r>
      <w:r w:rsidR="001B7678">
        <w:rPr>
          <w:i/>
        </w:rPr>
        <w:t>.</w:t>
      </w:r>
      <w:r w:rsidRPr="0037256F">
        <w:rPr>
          <w:i/>
        </w:rPr>
        <w:t xml:space="preserve"> 10 &amp; 42</w:t>
      </w:r>
      <w:r>
        <w:t xml:space="preserve">. </w:t>
      </w:r>
      <w:bookmarkStart w:id="65" w:name="_Hlk521698119"/>
      <w:r>
        <w:t xml:space="preserve">New Haven: Lillian Goldman Law Library, 2008. </w:t>
      </w:r>
      <w:hyperlink r:id="rId21" w:history="1">
        <w:r w:rsidR="008C6537" w:rsidRPr="008C6537">
          <w:rPr>
            <w:rStyle w:val="Hyperlink"/>
            <w:color w:val="auto"/>
          </w:rPr>
          <w:t>http://avalon.law.yale.edu/subject_menus/fed.asp</w:t>
        </w:r>
      </w:hyperlink>
      <w:bookmarkEnd w:id="64"/>
      <w:bookmarkEnd w:id="65"/>
      <w:r w:rsidR="008C6537" w:rsidRPr="008C6537">
        <w:t>.</w:t>
      </w:r>
    </w:p>
    <w:p w:rsidR="00DF094A" w:rsidRPr="00525F10" w:rsidRDefault="00E546CA" w:rsidP="001D1114">
      <w:pPr>
        <w:tabs>
          <w:tab w:val="left" w:pos="720"/>
        </w:tabs>
        <w:spacing w:line="480" w:lineRule="auto"/>
        <w:ind w:left="720" w:hanging="720"/>
        <w:contextualSpacing/>
      </w:pPr>
      <w:r>
        <w:t xml:space="preserve">Menez, Joseph and John R. Vile. </w:t>
      </w:r>
      <w:r w:rsidRPr="00E546CA">
        <w:rPr>
          <w:i/>
        </w:rPr>
        <w:t>Summaries of Leading Cases on the Constitution</w:t>
      </w:r>
      <w:r>
        <w:t>. 14</w:t>
      </w:r>
      <w:r w:rsidRPr="00E546CA">
        <w:rPr>
          <w:vertAlign w:val="superscript"/>
        </w:rPr>
        <w:t>th</w:t>
      </w:r>
      <w:r>
        <w:t xml:space="preserve"> </w:t>
      </w:r>
      <w:r w:rsidR="00B27520">
        <w:t>e</w:t>
      </w:r>
      <w:r>
        <w:t>d. New York: Rowman and Littlefield, 2004.</w:t>
      </w:r>
    </w:p>
    <w:p w:rsidR="009B27E0" w:rsidRDefault="009B27E0" w:rsidP="001D1114">
      <w:pPr>
        <w:tabs>
          <w:tab w:val="left" w:pos="720"/>
        </w:tabs>
        <w:spacing w:line="480" w:lineRule="auto"/>
        <w:ind w:left="720" w:hanging="720"/>
        <w:contextualSpacing/>
      </w:pPr>
      <w:r w:rsidRPr="009B27E0">
        <w:lastRenderedPageBreak/>
        <w:t>Michiel,</w:t>
      </w:r>
      <w:r>
        <w:t xml:space="preserve"> </w:t>
      </w:r>
      <w:r w:rsidRPr="009B27E0">
        <w:t>Giovanni</w:t>
      </w:r>
      <w:r>
        <w:t>.</w:t>
      </w:r>
      <w:r w:rsidRPr="009B27E0">
        <w:t xml:space="preserve"> “Venetian Ambassador’s Report on the Saint Bartholomew’s Day Massacre, 1570</w:t>
      </w:r>
      <w:r>
        <w:t>.</w:t>
      </w:r>
      <w:r w:rsidRPr="009B27E0">
        <w:t xml:space="preserve">” </w:t>
      </w:r>
      <w:r w:rsidRPr="009B27E0">
        <w:rPr>
          <w:i/>
        </w:rPr>
        <w:t>A Reformation Sourcebook: Documents from an Age of Debate</w:t>
      </w:r>
      <w:r>
        <w:t>.</w:t>
      </w:r>
      <w:r w:rsidRPr="009B27E0">
        <w:t xml:space="preserve"> ed. Michael W. Bruening</w:t>
      </w:r>
      <w:r>
        <w:t>.</w:t>
      </w:r>
      <w:r w:rsidRPr="009B27E0">
        <w:t xml:space="preserve"> Toronto: University of Toronto</w:t>
      </w:r>
      <w:r>
        <w:t xml:space="preserve"> Press</w:t>
      </w:r>
      <w:r w:rsidRPr="009B27E0">
        <w:t>, 2017</w:t>
      </w:r>
      <w:r>
        <w:t>.</w:t>
      </w:r>
    </w:p>
    <w:p w:rsidR="00542635" w:rsidRPr="00542635" w:rsidRDefault="00542635" w:rsidP="001D1114">
      <w:pPr>
        <w:tabs>
          <w:tab w:val="left" w:pos="720"/>
        </w:tabs>
        <w:spacing w:line="480" w:lineRule="auto"/>
        <w:ind w:left="720" w:hanging="720"/>
        <w:contextualSpacing/>
      </w:pPr>
      <w:r>
        <w:t xml:space="preserve">Morgan, Robert J. </w:t>
      </w:r>
      <w:r>
        <w:rPr>
          <w:i/>
        </w:rPr>
        <w:t>James Madison on the Constitution and the Bill of Rights.</w:t>
      </w:r>
      <w:r>
        <w:t xml:space="preserve"> New York: Greenwood Press, 1988.</w:t>
      </w:r>
    </w:p>
    <w:p w:rsidR="00B92371" w:rsidRDefault="00B92371" w:rsidP="001D1114">
      <w:pPr>
        <w:tabs>
          <w:tab w:val="left" w:pos="720"/>
        </w:tabs>
        <w:spacing w:line="480" w:lineRule="auto"/>
        <w:ind w:left="720" w:hanging="720"/>
        <w:contextualSpacing/>
      </w:pPr>
      <w:r w:rsidRPr="00B92371">
        <w:t xml:space="preserve">Müntzer, Thomas. “Sermon Before the Princes.” </w:t>
      </w:r>
      <w:r w:rsidRPr="00B92371">
        <w:rPr>
          <w:i/>
        </w:rPr>
        <w:t>A Reformation Sourcebook: Documents from an Age of Debate</w:t>
      </w:r>
      <w:r w:rsidRPr="00B92371">
        <w:t>. ed. Michael W. Bruening. Toronto: University of Toronto</w:t>
      </w:r>
      <w:r w:rsidR="009B27E0">
        <w:t xml:space="preserve"> Press</w:t>
      </w:r>
      <w:r w:rsidRPr="00B92371">
        <w:t>, 2017.</w:t>
      </w:r>
    </w:p>
    <w:p w:rsidR="00502663" w:rsidRDefault="00502663" w:rsidP="001D1114">
      <w:pPr>
        <w:tabs>
          <w:tab w:val="left" w:pos="720"/>
        </w:tabs>
        <w:spacing w:line="480" w:lineRule="auto"/>
        <w:ind w:left="720" w:hanging="720"/>
        <w:contextualSpacing/>
      </w:pPr>
      <w:r w:rsidRPr="00502663">
        <w:t>Myers</w:t>
      </w:r>
      <w:r w:rsidR="003C25F3">
        <w:t>,</w:t>
      </w:r>
      <w:r w:rsidRPr="00502663">
        <w:t xml:space="preserve"> William Star</w:t>
      </w:r>
      <w:r>
        <w:t>r.</w:t>
      </w:r>
      <w:r w:rsidRPr="00502663">
        <w:rPr>
          <w:i/>
        </w:rPr>
        <w:t xml:space="preserve"> </w:t>
      </w:r>
      <w:r w:rsidRPr="00502663">
        <w:rPr>
          <w:bCs/>
          <w:i/>
        </w:rPr>
        <w:t>Prominent Families of New Jersey, Volume 1</w:t>
      </w:r>
      <w:r>
        <w:rPr>
          <w:bCs/>
          <w:i/>
        </w:rPr>
        <w:t>.</w:t>
      </w:r>
      <w:r w:rsidRPr="00502663">
        <w:rPr>
          <w:bCs/>
        </w:rPr>
        <w:t xml:space="preserve"> Baltimore: Genealogical Publishing Com, 2000</w:t>
      </w:r>
      <w:r>
        <w:rPr>
          <w:bCs/>
        </w:rPr>
        <w:t>.</w:t>
      </w:r>
      <w:r w:rsidRPr="00502663">
        <w:rPr>
          <w:bCs/>
        </w:rPr>
        <w:t xml:space="preserve"> </w:t>
      </w:r>
      <w:hyperlink r:id="rId22" w:history="1">
        <w:r w:rsidR="008C6537" w:rsidRPr="00AE25C4">
          <w:rPr>
            <w:rStyle w:val="Hyperlink"/>
            <w:bCs/>
            <w:color w:val="auto"/>
          </w:rPr>
          <w:t>https://books.google.com</w:t>
        </w:r>
      </w:hyperlink>
      <w:r w:rsidRPr="00AE25C4">
        <w:t>.</w:t>
      </w:r>
    </w:p>
    <w:p w:rsidR="00D97CD4" w:rsidRDefault="00D97CD4" w:rsidP="001D1114">
      <w:pPr>
        <w:tabs>
          <w:tab w:val="left" w:pos="720"/>
        </w:tabs>
        <w:spacing w:line="480" w:lineRule="auto"/>
        <w:ind w:left="720" w:hanging="720"/>
        <w:contextualSpacing/>
      </w:pPr>
      <w:r w:rsidRPr="00D97CD4">
        <w:t xml:space="preserve">Newman, Roger K. </w:t>
      </w:r>
      <w:r w:rsidRPr="00D97CD4">
        <w:rPr>
          <w:i/>
        </w:rPr>
        <w:t>Hugo Black: A Biograph</w:t>
      </w:r>
      <w:r>
        <w:rPr>
          <w:i/>
        </w:rPr>
        <w:t xml:space="preserve">y. </w:t>
      </w:r>
      <w:r w:rsidRPr="00D97CD4">
        <w:t>New York: Pantheon Books, 1994</w:t>
      </w:r>
      <w:r>
        <w:t>.</w:t>
      </w:r>
    </w:p>
    <w:p w:rsidR="00190AE0" w:rsidRDefault="00190AE0" w:rsidP="001D1114">
      <w:pPr>
        <w:tabs>
          <w:tab w:val="left" w:pos="720"/>
        </w:tabs>
        <w:spacing w:line="480" w:lineRule="auto"/>
        <w:ind w:left="720" w:hanging="720"/>
        <w:contextualSpacing/>
      </w:pPr>
      <w:r w:rsidRPr="00190AE0">
        <w:t>Nordquest, David</w:t>
      </w:r>
      <w:r>
        <w:t>.</w:t>
      </w:r>
      <w:r w:rsidRPr="00190AE0">
        <w:t xml:space="preserve"> “Madison and Philosophy: His Coursework and His Statesmanship</w:t>
      </w:r>
      <w:r>
        <w:t>.</w:t>
      </w:r>
      <w:r w:rsidRPr="00190AE0">
        <w:t xml:space="preserve">” </w:t>
      </w:r>
      <w:r>
        <w:t xml:space="preserve">In </w:t>
      </w:r>
      <w:r w:rsidRPr="00190AE0">
        <w:rPr>
          <w:i/>
        </w:rPr>
        <w:t>James Madison: Philosopher, Founder, and Statesman.</w:t>
      </w:r>
      <w:r w:rsidRPr="00190AE0">
        <w:t xml:space="preserve"> ed</w:t>
      </w:r>
      <w:r w:rsidR="00C9060C">
        <w:t>ited by</w:t>
      </w:r>
      <w:r w:rsidRPr="00190AE0">
        <w:t xml:space="preserve"> John R. Vile, William D. Pederson, and Frank J. Williams</w:t>
      </w:r>
      <w:r w:rsidR="00C9060C">
        <w:t>,</w:t>
      </w:r>
      <w:r>
        <w:t xml:space="preserve"> </w:t>
      </w:r>
      <w:r w:rsidR="00C9060C">
        <w:t xml:space="preserve">3-20. </w:t>
      </w:r>
      <w:r w:rsidRPr="00190AE0">
        <w:t>Athens: Ohio University Press, 2008</w:t>
      </w:r>
      <w:r>
        <w:t>.</w:t>
      </w:r>
    </w:p>
    <w:p w:rsidR="00847312" w:rsidRDefault="00847312" w:rsidP="008C6537">
      <w:pPr>
        <w:tabs>
          <w:tab w:val="left" w:pos="720"/>
        </w:tabs>
        <w:spacing w:line="480" w:lineRule="auto"/>
        <w:ind w:left="720" w:hanging="720"/>
        <w:contextualSpacing/>
      </w:pPr>
      <w:r w:rsidRPr="00847312">
        <w:t>Paris</w:t>
      </w:r>
      <w:r w:rsidR="003C25F3">
        <w:t>,</w:t>
      </w:r>
      <w:r w:rsidRPr="00847312">
        <w:t xml:space="preserve"> M</w:t>
      </w:r>
      <w:r>
        <w:t>icheal</w:t>
      </w:r>
      <w:r w:rsidR="003C25F3">
        <w:t xml:space="preserve"> and</w:t>
      </w:r>
      <w:r w:rsidRPr="00847312">
        <w:t xml:space="preserve"> </w:t>
      </w:r>
      <w:r w:rsidR="003C25F3" w:rsidRPr="003C25F3">
        <w:t xml:space="preserve">Kevin J </w:t>
      </w:r>
      <w:r w:rsidRPr="00847312">
        <w:t xml:space="preserve">McMahon. </w:t>
      </w:r>
      <w:bookmarkStart w:id="66" w:name="_Hlk524978255"/>
      <w:r>
        <w:t>“</w:t>
      </w:r>
      <w:r w:rsidRPr="00847312">
        <w:t>Absolutism and Democracy: Hugo L. Black’s Free Speech Jurisprudence.</w:t>
      </w:r>
      <w:r>
        <w:t>”</w:t>
      </w:r>
      <w:r w:rsidRPr="00847312">
        <w:t xml:space="preserve"> In: </w:t>
      </w:r>
      <w:r w:rsidR="003C25F3" w:rsidRPr="003C25F3">
        <w:t xml:space="preserve">H.J </w:t>
      </w:r>
      <w:r w:rsidRPr="00847312">
        <w:t>Knowles</w:t>
      </w:r>
      <w:r w:rsidR="003C25F3">
        <w:t xml:space="preserve"> and </w:t>
      </w:r>
      <w:r w:rsidR="003C25F3" w:rsidRPr="003C25F3">
        <w:t xml:space="preserve">S.B </w:t>
      </w:r>
      <w:r w:rsidRPr="00847312">
        <w:t>Lichtman. eds</w:t>
      </w:r>
      <w:r w:rsidR="003C25F3">
        <w:t>.</w:t>
      </w:r>
      <w:r w:rsidRPr="00847312">
        <w:t xml:space="preserve"> </w:t>
      </w:r>
      <w:r w:rsidRPr="00847312">
        <w:rPr>
          <w:i/>
        </w:rPr>
        <w:t>Judging Free Speech</w:t>
      </w:r>
      <w:r w:rsidRPr="00847312">
        <w:t>. New York</w:t>
      </w:r>
      <w:r>
        <w:t>:</w:t>
      </w:r>
      <w:r w:rsidRPr="00847312">
        <w:t xml:space="preserve"> Palgrave Macmillan</w:t>
      </w:r>
      <w:r>
        <w:t xml:space="preserve">, </w:t>
      </w:r>
      <w:r w:rsidRPr="00847312">
        <w:t>2015</w:t>
      </w:r>
      <w:bookmarkEnd w:id="66"/>
      <w:r w:rsidR="008C6537">
        <w:t>.</w:t>
      </w:r>
      <w:r w:rsidR="005F330C" w:rsidRPr="005F330C">
        <w:t xml:space="preserve"> </w:t>
      </w:r>
      <w:r w:rsidR="003C25F3">
        <w:t xml:space="preserve"> </w:t>
      </w:r>
      <w:hyperlink r:id="rId23" w:anchor="citeas" w:history="1">
        <w:r w:rsidR="003C25F3" w:rsidRPr="003C25F3">
          <w:rPr>
            <w:rStyle w:val="Hyperlink"/>
            <w:color w:val="auto"/>
          </w:rPr>
          <w:t>https://link.springer.com/chapter/10.1007/978-1-137-41262-1_4#citeas</w:t>
        </w:r>
      </w:hyperlink>
      <w:r w:rsidR="005F330C" w:rsidRPr="003C25F3">
        <w:t>.</w:t>
      </w:r>
    </w:p>
    <w:p w:rsidR="001B6D0F" w:rsidRDefault="001B6D0F" w:rsidP="001D1114">
      <w:pPr>
        <w:spacing w:line="480" w:lineRule="auto"/>
        <w:ind w:left="720" w:hanging="720"/>
        <w:contextualSpacing/>
      </w:pPr>
      <w:r w:rsidRPr="001B6D0F">
        <w:t xml:space="preserve">Parker, Rachel R. "Shays' Rebellion: An Episode in American State-Making." </w:t>
      </w:r>
      <w:r w:rsidRPr="001B6D0F">
        <w:rPr>
          <w:i/>
          <w:iCs/>
        </w:rPr>
        <w:t>Sociological Perspectives</w:t>
      </w:r>
      <w:r w:rsidRPr="001B6D0F">
        <w:t xml:space="preserve"> 34, no. 1 (1991): 95-113. Published by: Sage Publications, Inc. </w:t>
      </w:r>
      <w:bookmarkStart w:id="67" w:name="_Hlk521348438"/>
      <w:r w:rsidRPr="001B6D0F">
        <w:t>http://www.jstor.org/stable/138914</w:t>
      </w:r>
      <w:bookmarkEnd w:id="67"/>
      <w:r w:rsidR="008C6537">
        <w:t>.</w:t>
      </w:r>
    </w:p>
    <w:p w:rsidR="00BB2BF5" w:rsidRDefault="00BB2BF5" w:rsidP="001D1114">
      <w:pPr>
        <w:spacing w:line="480" w:lineRule="auto"/>
        <w:ind w:left="720" w:hanging="720"/>
        <w:contextualSpacing/>
      </w:pPr>
      <w:r w:rsidRPr="00BB2BF5">
        <w:lastRenderedPageBreak/>
        <w:t xml:space="preserve">Perry, Barbara A. "Justice Hugo Black and the "Wall of Separation Between Church and State". </w:t>
      </w:r>
      <w:r w:rsidRPr="00BB2BF5">
        <w:rPr>
          <w:i/>
          <w:iCs/>
        </w:rPr>
        <w:t>Journal of Church and State</w:t>
      </w:r>
      <w:r w:rsidRPr="00BB2BF5">
        <w:t xml:space="preserve"> 31, no. 1 (1989): 55-72. http://www.jstor.org/stable/23917624.</w:t>
      </w:r>
    </w:p>
    <w:p w:rsidR="009E003B" w:rsidRDefault="009E003B" w:rsidP="001D1114">
      <w:pPr>
        <w:tabs>
          <w:tab w:val="left" w:pos="720"/>
        </w:tabs>
        <w:spacing w:line="480" w:lineRule="auto"/>
        <w:ind w:left="720" w:hanging="720"/>
        <w:contextualSpacing/>
      </w:pPr>
      <w:r>
        <w:t xml:space="preserve">Riemer, Neal. </w:t>
      </w:r>
      <w:r>
        <w:rPr>
          <w:i/>
        </w:rPr>
        <w:t xml:space="preserve">James Madison: Creating the American Constitution. </w:t>
      </w:r>
      <w:r>
        <w:t>Washington: Congressional Quarterly, 1986.</w:t>
      </w:r>
    </w:p>
    <w:p w:rsidR="00561AD9" w:rsidRPr="00561AD9" w:rsidRDefault="00561AD9" w:rsidP="001D1114">
      <w:pPr>
        <w:tabs>
          <w:tab w:val="left" w:pos="720"/>
        </w:tabs>
        <w:spacing w:line="480" w:lineRule="auto"/>
        <w:ind w:left="720" w:hanging="720"/>
        <w:contextualSpacing/>
      </w:pPr>
      <w:bookmarkStart w:id="68" w:name="_Hlk522994102"/>
      <w:r>
        <w:t xml:space="preserve">Rives, William C. </w:t>
      </w:r>
      <w:r>
        <w:rPr>
          <w:i/>
        </w:rPr>
        <w:t>History of the Life and Times of James Madison.</w:t>
      </w:r>
      <w:r>
        <w:t xml:space="preserve"> </w:t>
      </w:r>
      <w:r w:rsidR="00425A29">
        <w:t xml:space="preserve">2 vols. </w:t>
      </w:r>
      <w:r w:rsidR="00540617">
        <w:t>2</w:t>
      </w:r>
      <w:r w:rsidR="00540617" w:rsidRPr="00540617">
        <w:rPr>
          <w:vertAlign w:val="superscript"/>
        </w:rPr>
        <w:t>nd</w:t>
      </w:r>
      <w:r w:rsidR="00540617">
        <w:t xml:space="preserve"> ed. Boston: Little, Brown and Company, 1870. </w:t>
      </w:r>
      <w:r w:rsidR="008C6537">
        <w:t>R</w:t>
      </w:r>
      <w:r w:rsidR="00540617">
        <w:t>eprint by Forgotten Books, Lexington</w:t>
      </w:r>
      <w:r w:rsidR="008C6537">
        <w:t>, 2012.</w:t>
      </w:r>
    </w:p>
    <w:bookmarkEnd w:id="68"/>
    <w:p w:rsidR="00C40E2B" w:rsidRDefault="00350225" w:rsidP="001D1114">
      <w:pPr>
        <w:tabs>
          <w:tab w:val="left" w:pos="720"/>
        </w:tabs>
        <w:spacing w:line="480" w:lineRule="auto"/>
        <w:ind w:left="720" w:hanging="720"/>
        <w:contextualSpacing/>
      </w:pPr>
      <w:r w:rsidRPr="00350225">
        <w:t>Rao, H. Krishna. "</w:t>
      </w:r>
      <w:r w:rsidR="00B576F9" w:rsidRPr="00350225">
        <w:t>John Wycliffe</w:t>
      </w:r>
      <w:r w:rsidRPr="00350225">
        <w:t xml:space="preserve">." </w:t>
      </w:r>
      <w:r w:rsidRPr="00350225">
        <w:rPr>
          <w:i/>
          <w:iCs/>
        </w:rPr>
        <w:t>The Indian Journal of Political Science</w:t>
      </w:r>
      <w:r w:rsidRPr="00350225">
        <w:t xml:space="preserve"> 3, no. 4 (1942): 372</w:t>
      </w:r>
      <w:r w:rsidR="00B576F9">
        <w:t>-79</w:t>
      </w:r>
      <w:r w:rsidRPr="00350225">
        <w:t xml:space="preserve">. </w:t>
      </w:r>
      <w:hyperlink r:id="rId24" w:history="1">
        <w:r w:rsidRPr="00B23D46">
          <w:rPr>
            <w:rStyle w:val="Hyperlink"/>
            <w:color w:val="auto"/>
          </w:rPr>
          <w:t>http://www.jstor.org/stable/42754272</w:t>
        </w:r>
      </w:hyperlink>
      <w:r w:rsidR="00B576F9">
        <w:rPr>
          <w:rStyle w:val="Hyperlink"/>
          <w:color w:val="auto"/>
        </w:rPr>
        <w:t>.</w:t>
      </w:r>
      <w:r>
        <w:t xml:space="preserve"> </w:t>
      </w:r>
    </w:p>
    <w:p w:rsidR="00350225" w:rsidRDefault="00350225" w:rsidP="001D1114">
      <w:pPr>
        <w:tabs>
          <w:tab w:val="left" w:pos="720"/>
        </w:tabs>
        <w:spacing w:line="480" w:lineRule="auto"/>
        <w:ind w:left="720" w:hanging="720"/>
        <w:contextualSpacing/>
      </w:pPr>
      <w:r w:rsidRPr="00350225">
        <w:t xml:space="preserve">Reid, W. Stanford. "The Lollards in Pre-Reformation Scotland." </w:t>
      </w:r>
      <w:r w:rsidRPr="00350225">
        <w:rPr>
          <w:i/>
          <w:iCs/>
        </w:rPr>
        <w:t>Church History</w:t>
      </w:r>
      <w:r w:rsidRPr="00350225">
        <w:t xml:space="preserve"> 11, no. 4 (1942): 2</w:t>
      </w:r>
      <w:r w:rsidR="003B0B0F">
        <w:t>69-83</w:t>
      </w:r>
      <w:r w:rsidRPr="00350225">
        <w:t xml:space="preserve">. </w:t>
      </w:r>
      <w:hyperlink r:id="rId25" w:history="1">
        <w:r w:rsidR="008619CC" w:rsidRPr="00B23D46">
          <w:rPr>
            <w:rStyle w:val="Hyperlink"/>
            <w:color w:val="auto"/>
          </w:rPr>
          <w:t>http://www.jstor.org/stable/3160372</w:t>
        </w:r>
      </w:hyperlink>
      <w:r w:rsidRPr="00B23D46">
        <w:t>.</w:t>
      </w:r>
    </w:p>
    <w:p w:rsidR="008619CC" w:rsidRDefault="008619CC" w:rsidP="001D1114">
      <w:pPr>
        <w:tabs>
          <w:tab w:val="left" w:pos="720"/>
        </w:tabs>
        <w:spacing w:line="480" w:lineRule="auto"/>
        <w:ind w:left="720" w:hanging="720"/>
        <w:contextualSpacing/>
      </w:pPr>
      <w:r w:rsidRPr="008619CC">
        <w:t xml:space="preserve">Reinhard, Wolfgang. "Reformation, Counter-Reformation, and the Early Modern State a Reassessment." </w:t>
      </w:r>
      <w:r w:rsidRPr="008619CC">
        <w:rPr>
          <w:i/>
          <w:iCs/>
        </w:rPr>
        <w:t>The Catholic Historical Review</w:t>
      </w:r>
      <w:r w:rsidRPr="008619CC">
        <w:t xml:space="preserve"> 75, no. 3 (1989): 383-404. </w:t>
      </w:r>
      <w:hyperlink r:id="rId26" w:history="1">
        <w:r w:rsidR="00997D93" w:rsidRPr="00D66EE6">
          <w:rPr>
            <w:rStyle w:val="Hyperlink"/>
            <w:color w:val="auto"/>
          </w:rPr>
          <w:t>http://www.jstor.org/stable/25023084</w:t>
        </w:r>
      </w:hyperlink>
      <w:r w:rsidRPr="00D66EE6">
        <w:t>.</w:t>
      </w:r>
    </w:p>
    <w:p w:rsidR="001B6D0F" w:rsidRPr="00D66EE6" w:rsidRDefault="00D66EE6" w:rsidP="001D1114">
      <w:pPr>
        <w:tabs>
          <w:tab w:val="left" w:pos="720"/>
        </w:tabs>
        <w:spacing w:line="480" w:lineRule="auto"/>
        <w:ind w:left="720" w:hanging="720"/>
        <w:contextualSpacing/>
      </w:pPr>
      <w:r w:rsidRPr="00D66EE6">
        <w:t>— “</w:t>
      </w:r>
      <w:r w:rsidR="00BB58D6" w:rsidRPr="00BB58D6">
        <w:t>Power Elites, State Servants, Ruling Classes, and the Growth of State Power</w:t>
      </w:r>
      <w:r w:rsidR="00BB58D6">
        <w:t>.</w:t>
      </w:r>
      <w:r w:rsidR="00BB58D6" w:rsidRPr="00BB58D6">
        <w:t xml:space="preserve">” </w:t>
      </w:r>
      <w:r w:rsidR="00BB58D6">
        <w:t>I</w:t>
      </w:r>
      <w:r w:rsidR="00BB58D6" w:rsidRPr="00BB58D6">
        <w:t xml:space="preserve">n </w:t>
      </w:r>
      <w:r w:rsidR="00BB58D6" w:rsidRPr="00BB58D6">
        <w:rPr>
          <w:i/>
        </w:rPr>
        <w:t>Power Elites and State Building</w:t>
      </w:r>
      <w:r w:rsidR="00BB58D6" w:rsidRPr="00BB58D6">
        <w:t>, ed</w:t>
      </w:r>
      <w:r w:rsidR="00BB58D6">
        <w:t>ited by</w:t>
      </w:r>
      <w:r w:rsidR="00BB58D6" w:rsidRPr="00BB58D6">
        <w:t xml:space="preserve"> Wolfgang Reinhard</w:t>
      </w:r>
      <w:r w:rsidR="00BB58D6">
        <w:t>, 1-18.</w:t>
      </w:r>
      <w:r w:rsidR="00BB58D6" w:rsidRPr="00BB58D6">
        <w:t xml:space="preserve"> Oxford: Clarendon Press, 1996</w:t>
      </w:r>
      <w:r w:rsidR="00BB58D6">
        <w:t>.</w:t>
      </w:r>
    </w:p>
    <w:p w:rsidR="00A64CFD" w:rsidRDefault="00A64CFD" w:rsidP="001D1114">
      <w:pPr>
        <w:tabs>
          <w:tab w:val="left" w:pos="720"/>
        </w:tabs>
        <w:spacing w:line="480" w:lineRule="auto"/>
        <w:ind w:left="720" w:hanging="720"/>
        <w:contextualSpacing/>
      </w:pPr>
      <w:r w:rsidRPr="00A64CFD">
        <w:t xml:space="preserve">Scott, Michael. "Mapping the Religious Landscape: The Case of Pan in Athens." In </w:t>
      </w:r>
      <w:r w:rsidRPr="00A64CFD">
        <w:rPr>
          <w:i/>
          <w:iCs/>
        </w:rPr>
        <w:t>Theoretical Approaches to the Archaeology of Ancient Greece: Manipulating Material Culture</w:t>
      </w:r>
      <w:r w:rsidRPr="00A64CFD">
        <w:t>, ed</w:t>
      </w:r>
      <w:r w:rsidR="003C25F3">
        <w:t>.</w:t>
      </w:r>
      <w:r w:rsidRPr="00A64CFD">
        <w:t xml:space="preserve"> </w:t>
      </w:r>
      <w:r w:rsidR="00B576F9" w:rsidRPr="00B576F9">
        <w:t xml:space="preserve">Lisa C </w:t>
      </w:r>
      <w:r w:rsidRPr="00A64CFD">
        <w:t xml:space="preserve">Nevett. Ann Arbor: University of Michigan Press, </w:t>
      </w:r>
      <w:r w:rsidR="00B576F9">
        <w:t>(</w:t>
      </w:r>
      <w:r w:rsidRPr="00A64CFD">
        <w:t>2017</w:t>
      </w:r>
      <w:r w:rsidR="00B576F9">
        <w:t>): 212-229,</w:t>
      </w:r>
      <w:r w:rsidRPr="00A64CFD">
        <w:t xml:space="preserve"> </w:t>
      </w:r>
      <w:hyperlink r:id="rId27" w:history="1">
        <w:r w:rsidR="00B576F9" w:rsidRPr="008C6537">
          <w:rPr>
            <w:rStyle w:val="Hyperlink"/>
            <w:color w:val="auto"/>
          </w:rPr>
          <w:t>http://www.jstor.org/stable/10.3998/mpub.8287082.14</w:t>
        </w:r>
      </w:hyperlink>
      <w:r w:rsidRPr="008C6537">
        <w:t>.</w:t>
      </w:r>
    </w:p>
    <w:p w:rsidR="004D4587" w:rsidRDefault="00E70511" w:rsidP="001D1114">
      <w:pPr>
        <w:tabs>
          <w:tab w:val="left" w:pos="720"/>
        </w:tabs>
        <w:spacing w:line="480" w:lineRule="auto"/>
        <w:ind w:left="720" w:hanging="720"/>
        <w:contextualSpacing/>
      </w:pPr>
      <w:r>
        <w:lastRenderedPageBreak/>
        <w:t>Simon, Ronny.</w:t>
      </w:r>
      <w:r>
        <w:rPr>
          <w:i/>
        </w:rPr>
        <w:t xml:space="preserve"> Give Us a King: The Rise and Fall of Hebrew Kingdoms.</w:t>
      </w:r>
      <w:r>
        <w:t xml:space="preserve"> Jerusalem: Israel Seminars, 2016</w:t>
      </w:r>
    </w:p>
    <w:p w:rsidR="003C6E72" w:rsidRDefault="003C6E72" w:rsidP="001D1114">
      <w:pPr>
        <w:tabs>
          <w:tab w:val="left" w:pos="720"/>
        </w:tabs>
        <w:spacing w:line="480" w:lineRule="auto"/>
        <w:ind w:left="720" w:hanging="720"/>
        <w:contextualSpacing/>
      </w:pPr>
      <w:r w:rsidRPr="003C6E72">
        <w:t xml:space="preserve">Spitz, Lewis. "The Augsburg Confession: 450 Years of History." </w:t>
      </w:r>
      <w:r w:rsidRPr="003C6E72">
        <w:rPr>
          <w:i/>
          <w:iCs/>
        </w:rPr>
        <w:t>The Sixteenth Century Journal</w:t>
      </w:r>
      <w:r w:rsidRPr="003C6E72">
        <w:t xml:space="preserve"> 11, no. 3 (1980) doi:10.2307/2540150.</w:t>
      </w:r>
    </w:p>
    <w:p w:rsidR="009A01CA" w:rsidRDefault="006D694E" w:rsidP="001D1114">
      <w:pPr>
        <w:tabs>
          <w:tab w:val="left" w:pos="720"/>
        </w:tabs>
        <w:spacing w:line="480" w:lineRule="auto"/>
        <w:ind w:left="720" w:hanging="720"/>
        <w:contextualSpacing/>
      </w:pPr>
      <w:r>
        <w:t xml:space="preserve">Sutherland, Suzanne. Class Lecture in </w:t>
      </w:r>
      <w:r>
        <w:rPr>
          <w:i/>
        </w:rPr>
        <w:t>The Reformation</w:t>
      </w:r>
      <w:r>
        <w:t xml:space="preserve">. </w:t>
      </w:r>
      <w:bookmarkStart w:id="69" w:name="_Hlk504641257"/>
      <w:r>
        <w:t xml:space="preserve">Murfreesboro: </w:t>
      </w:r>
      <w:bookmarkEnd w:id="69"/>
      <w:r>
        <w:t xml:space="preserve">Middle Tennessee State University, </w:t>
      </w:r>
      <w:r w:rsidR="00B92371">
        <w:t xml:space="preserve">Spring </w:t>
      </w:r>
      <w:r>
        <w:t>201</w:t>
      </w:r>
      <w:r w:rsidR="00296882">
        <w:t>8</w:t>
      </w:r>
    </w:p>
    <w:p w:rsidR="00621A20" w:rsidRDefault="00C716A9" w:rsidP="001D1114">
      <w:pPr>
        <w:tabs>
          <w:tab w:val="left" w:pos="720"/>
        </w:tabs>
        <w:spacing w:line="480" w:lineRule="auto"/>
        <w:ind w:left="720" w:hanging="720"/>
        <w:contextualSpacing/>
      </w:pPr>
      <w:bookmarkStart w:id="70" w:name="_Hlk512526172"/>
      <w:bookmarkStart w:id="71" w:name="_Hlk514775292"/>
      <w:r w:rsidRPr="00C716A9">
        <w:t xml:space="preserve">Terpstra, Nicholas. </w:t>
      </w:r>
      <w:r w:rsidRPr="00C716A9">
        <w:rPr>
          <w:i/>
          <w:iCs/>
        </w:rPr>
        <w:t xml:space="preserve">Religious Refugees in the Early Modern World: An Alternative History of the Reformation. </w:t>
      </w:r>
      <w:r w:rsidRPr="00C716A9">
        <w:t>New York: Cambridge University Press, 2015.</w:t>
      </w:r>
      <w:bookmarkEnd w:id="70"/>
    </w:p>
    <w:p w:rsidR="004A2BD3" w:rsidRDefault="004A2BD3" w:rsidP="001D1114">
      <w:pPr>
        <w:tabs>
          <w:tab w:val="left" w:pos="720"/>
        </w:tabs>
        <w:spacing w:line="480" w:lineRule="auto"/>
        <w:ind w:left="720" w:hanging="720"/>
        <w:contextualSpacing/>
      </w:pPr>
      <w:r w:rsidRPr="004A2BD3">
        <w:t>Vile, John R</w:t>
      </w:r>
      <w:r>
        <w:t xml:space="preserve">. </w:t>
      </w:r>
      <w:r w:rsidRPr="004A2BD3">
        <w:rPr>
          <w:i/>
        </w:rPr>
        <w:t xml:space="preserve"> A Companion to the United States Constitution and Its Amendments</w:t>
      </w:r>
      <w:r>
        <w:t>.</w:t>
      </w:r>
      <w:r w:rsidRPr="004A2BD3">
        <w:t xml:space="preserve"> 5</w:t>
      </w:r>
      <w:r w:rsidRPr="004A2BD3">
        <w:rPr>
          <w:vertAlign w:val="superscript"/>
        </w:rPr>
        <w:t>th</w:t>
      </w:r>
      <w:r w:rsidRPr="004A2BD3">
        <w:t xml:space="preserve"> ed. Santa Barbara: Praeger, 2010</w:t>
      </w:r>
      <w:r>
        <w:t>.</w:t>
      </w:r>
    </w:p>
    <w:p w:rsidR="00416022" w:rsidRDefault="004A2BD3" w:rsidP="001D1114">
      <w:pPr>
        <w:tabs>
          <w:tab w:val="left" w:pos="720"/>
        </w:tabs>
        <w:spacing w:line="480" w:lineRule="auto"/>
        <w:ind w:left="720" w:hanging="720"/>
        <w:contextualSpacing/>
      </w:pPr>
      <w:r>
        <w:t>—</w:t>
      </w:r>
      <w:r w:rsidR="00416022">
        <w:t xml:space="preserve"> </w:t>
      </w:r>
      <w:r w:rsidR="00971411">
        <w:t xml:space="preserve">“James Madison and Constitutional Paternity.” </w:t>
      </w:r>
      <w:r w:rsidR="00416022">
        <w:rPr>
          <w:i/>
        </w:rPr>
        <w:t>James Madison: Philosopher, Founder, and Statesman.</w:t>
      </w:r>
      <w:r w:rsidR="00416022">
        <w:t xml:space="preserve"> </w:t>
      </w:r>
      <w:r w:rsidR="003C25F3">
        <w:t>e</w:t>
      </w:r>
      <w:r w:rsidR="00416022">
        <w:t>ds. John R. Vile, William D. Pederson, and Frank J. Williams. Athens: Ohio University Press, 2008.</w:t>
      </w:r>
    </w:p>
    <w:p w:rsidR="00465E7F" w:rsidRPr="00416022" w:rsidRDefault="00465E7F" w:rsidP="001D1114">
      <w:pPr>
        <w:tabs>
          <w:tab w:val="left" w:pos="720"/>
        </w:tabs>
        <w:spacing w:line="480" w:lineRule="auto"/>
        <w:ind w:left="720" w:hanging="720"/>
        <w:contextualSpacing/>
      </w:pPr>
      <w:r w:rsidRPr="00465E7F">
        <w:t xml:space="preserve">Warren, Earl. "A Tribute to Hugo L. Black." </w:t>
      </w:r>
      <w:r w:rsidRPr="00465E7F">
        <w:rPr>
          <w:i/>
          <w:iCs/>
        </w:rPr>
        <w:t>Harvard Law Review</w:t>
      </w:r>
      <w:r w:rsidRPr="00465E7F">
        <w:t xml:space="preserve"> 85, no. 1 (1971): 1-2. http://www.jstor.org/stable/1339707.</w:t>
      </w:r>
    </w:p>
    <w:bookmarkEnd w:id="71"/>
    <w:p w:rsidR="00F57FCC" w:rsidRDefault="00F57FCC" w:rsidP="001D1114">
      <w:pPr>
        <w:tabs>
          <w:tab w:val="left" w:pos="720"/>
        </w:tabs>
        <w:spacing w:line="480" w:lineRule="auto"/>
        <w:ind w:left="720" w:hanging="720"/>
        <w:contextualSpacing/>
      </w:pPr>
      <w:r w:rsidRPr="00F57FCC">
        <w:t xml:space="preserve">Wilson, Peter H. "The Causes of the Thirty Years War 1618-48." </w:t>
      </w:r>
      <w:r w:rsidRPr="00F57FCC">
        <w:rPr>
          <w:i/>
          <w:iCs/>
        </w:rPr>
        <w:t>The English Historical Review</w:t>
      </w:r>
      <w:r w:rsidRPr="00F57FCC">
        <w:t xml:space="preserve"> 123, no. 502 (2008): 554-86. </w:t>
      </w:r>
      <w:hyperlink r:id="rId28" w:history="1">
        <w:r w:rsidR="00540617" w:rsidRPr="008C6537">
          <w:rPr>
            <w:rStyle w:val="Hyperlink"/>
            <w:color w:val="auto"/>
          </w:rPr>
          <w:t>http://www.jstor.org/stable/20108541</w:t>
        </w:r>
      </w:hyperlink>
      <w:r w:rsidRPr="008C6537">
        <w:t>.</w:t>
      </w:r>
    </w:p>
    <w:p w:rsidR="00540617" w:rsidRDefault="00540617" w:rsidP="001D1114">
      <w:pPr>
        <w:tabs>
          <w:tab w:val="left" w:pos="720"/>
        </w:tabs>
        <w:spacing w:line="480" w:lineRule="auto"/>
        <w:ind w:left="720" w:hanging="720"/>
        <w:contextualSpacing/>
      </w:pPr>
      <w:r>
        <w:t xml:space="preserve">Winterer, Caroline </w:t>
      </w:r>
      <w:r>
        <w:rPr>
          <w:i/>
        </w:rPr>
        <w:t xml:space="preserve">American Enlightenment: Pursuing Happiness in the Age of Reason. </w:t>
      </w:r>
      <w:r>
        <w:t>New Haven: Yale University Press, 2016</w:t>
      </w:r>
      <w:r w:rsidR="003C25F3">
        <w:t>.</w:t>
      </w:r>
    </w:p>
    <w:p w:rsidR="00F0278E" w:rsidRDefault="00F0278E" w:rsidP="001D1114">
      <w:pPr>
        <w:tabs>
          <w:tab w:val="left" w:pos="720"/>
        </w:tabs>
        <w:spacing w:line="480" w:lineRule="auto"/>
        <w:ind w:left="720" w:hanging="720"/>
        <w:contextualSpacing/>
      </w:pPr>
      <w:r w:rsidRPr="00F0278E">
        <w:t xml:space="preserve">Witherspoon, John, and Thomas Miller. </w:t>
      </w:r>
      <w:r w:rsidRPr="00F0278E">
        <w:rPr>
          <w:i/>
          <w:iCs/>
        </w:rPr>
        <w:t>The selected writings of John Witherspoon</w:t>
      </w:r>
      <w:r w:rsidRPr="00F0278E">
        <w:t>. Carbondale: Southern Illinois University Press, 1990.</w:t>
      </w:r>
    </w:p>
    <w:p w:rsidR="002C2E9E" w:rsidRDefault="002C2E9E" w:rsidP="001D1114">
      <w:pPr>
        <w:tabs>
          <w:tab w:val="left" w:pos="720"/>
        </w:tabs>
        <w:spacing w:line="480" w:lineRule="auto"/>
        <w:ind w:left="720" w:hanging="720"/>
        <w:contextualSpacing/>
      </w:pPr>
    </w:p>
    <w:p w:rsidR="002C2E9E" w:rsidRDefault="002C2E9E" w:rsidP="00B83DC3">
      <w:pPr>
        <w:tabs>
          <w:tab w:val="left" w:pos="720"/>
        </w:tabs>
        <w:spacing w:line="480" w:lineRule="auto"/>
        <w:contextualSpacing/>
        <w:sectPr w:rsidR="002C2E9E" w:rsidSect="00AC21EF">
          <w:footnotePr>
            <w:numRestart w:val="eachSect"/>
          </w:footnotePr>
          <w:pgSz w:w="12240" w:h="15840"/>
          <w:pgMar w:top="1440" w:right="1440" w:bottom="1440" w:left="2160" w:header="720" w:footer="720" w:gutter="0"/>
          <w:cols w:space="720"/>
          <w:docGrid w:linePitch="360"/>
        </w:sectPr>
      </w:pPr>
    </w:p>
    <w:p w:rsidR="003C25F3" w:rsidRDefault="003C25F3">
      <w:pPr>
        <w:rPr>
          <w:b/>
          <w:u w:val="single"/>
        </w:rPr>
      </w:pPr>
      <w:r>
        <w:rPr>
          <w:b/>
          <w:u w:val="single"/>
        </w:rPr>
        <w:lastRenderedPageBreak/>
        <w:br w:type="page"/>
      </w:r>
    </w:p>
    <w:p w:rsidR="009853CC" w:rsidRDefault="009853CC" w:rsidP="00B83DC3">
      <w:pPr>
        <w:jc w:val="center"/>
        <w:rPr>
          <w:b/>
          <w:u w:val="single"/>
        </w:rPr>
      </w:pPr>
      <w:r>
        <w:rPr>
          <w:b/>
          <w:u w:val="single"/>
        </w:rPr>
        <w:lastRenderedPageBreak/>
        <w:t xml:space="preserve">APPENDIX </w:t>
      </w:r>
      <w:r w:rsidR="00AF6A96">
        <w:rPr>
          <w:b/>
          <w:u w:val="single"/>
        </w:rPr>
        <w:t>A</w:t>
      </w:r>
    </w:p>
    <w:p w:rsidR="002C2E9E" w:rsidRDefault="002C2E9E" w:rsidP="002C2E9E">
      <w:pPr>
        <w:contextualSpacing/>
        <w:jc w:val="center"/>
      </w:pPr>
    </w:p>
    <w:p w:rsidR="002C2E9E" w:rsidRDefault="002C2E9E" w:rsidP="002C2E9E">
      <w:pPr>
        <w:contextualSpacing/>
        <w:jc w:val="center"/>
      </w:pPr>
    </w:p>
    <w:p w:rsidR="002C2E9E" w:rsidRPr="002C2E9E" w:rsidRDefault="002C2E9E" w:rsidP="002C2E9E">
      <w:pPr>
        <w:contextualSpacing/>
        <w:jc w:val="center"/>
      </w:pPr>
    </w:p>
    <w:p w:rsidR="00C061B2" w:rsidRDefault="008E1E22" w:rsidP="001D1114">
      <w:pPr>
        <w:tabs>
          <w:tab w:val="left" w:pos="720"/>
        </w:tabs>
        <w:spacing w:line="480" w:lineRule="auto"/>
        <w:contextualSpacing/>
      </w:pPr>
      <w:r w:rsidRPr="008E1E22">
        <w:t>The following is a paper that my father, James Edward Morton, wrote two years before I was born. In it he expresses similar lines of thought on Church and State to my own, though I did not know this existed until I was well into this work. I have cleaned up much of the misspelled words that he corrected by hand</w:t>
      </w:r>
      <w:r w:rsidR="00241573">
        <w:t xml:space="preserve"> (and a few he missed)</w:t>
      </w:r>
      <w:r w:rsidRPr="008E1E22">
        <w:t>. Apparently white out was not available in 1955.</w:t>
      </w:r>
    </w:p>
    <w:p w:rsidR="00C061B2" w:rsidRDefault="00C061B2">
      <w:r>
        <w:br w:type="page"/>
      </w: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C061B2" w:rsidRDefault="00C061B2" w:rsidP="00B637FA">
      <w:pPr>
        <w:tabs>
          <w:tab w:val="left" w:pos="720"/>
        </w:tabs>
        <w:spacing w:line="480" w:lineRule="auto"/>
        <w:contextualSpacing/>
        <w:jc w:val="center"/>
      </w:pPr>
    </w:p>
    <w:p w:rsidR="00C061B2" w:rsidRDefault="00C061B2" w:rsidP="00B637FA">
      <w:pPr>
        <w:tabs>
          <w:tab w:val="left" w:pos="720"/>
        </w:tabs>
        <w:spacing w:line="480" w:lineRule="auto"/>
        <w:contextualSpacing/>
        <w:jc w:val="center"/>
      </w:pPr>
    </w:p>
    <w:p w:rsidR="00C061B2" w:rsidRDefault="00C061B2" w:rsidP="00B637FA">
      <w:pPr>
        <w:tabs>
          <w:tab w:val="left" w:pos="720"/>
        </w:tabs>
        <w:spacing w:line="480" w:lineRule="auto"/>
        <w:contextualSpacing/>
        <w:jc w:val="center"/>
      </w:pPr>
    </w:p>
    <w:p w:rsidR="008E1E22" w:rsidRPr="008E1E22" w:rsidRDefault="008E1E22" w:rsidP="00B637FA">
      <w:pPr>
        <w:tabs>
          <w:tab w:val="left" w:pos="720"/>
        </w:tabs>
        <w:spacing w:line="480" w:lineRule="auto"/>
        <w:contextualSpacing/>
        <w:jc w:val="center"/>
      </w:pPr>
      <w:r w:rsidRPr="008E1E22">
        <w:t>Theology 301</w:t>
      </w:r>
    </w:p>
    <w:p w:rsidR="008E1E22" w:rsidRDefault="008E1E22" w:rsidP="001D1114">
      <w:pPr>
        <w:tabs>
          <w:tab w:val="left" w:pos="720"/>
        </w:tabs>
        <w:spacing w:line="480" w:lineRule="auto"/>
        <w:contextualSpacing/>
      </w:pPr>
    </w:p>
    <w:p w:rsidR="00C061B2" w:rsidRDefault="00C061B2" w:rsidP="001D1114">
      <w:pPr>
        <w:tabs>
          <w:tab w:val="left" w:pos="720"/>
        </w:tabs>
        <w:spacing w:line="480" w:lineRule="auto"/>
        <w:contextualSpacing/>
      </w:pPr>
    </w:p>
    <w:p w:rsidR="00C061B2" w:rsidRDefault="00C061B2" w:rsidP="001D1114">
      <w:pPr>
        <w:tabs>
          <w:tab w:val="left" w:pos="720"/>
        </w:tabs>
        <w:spacing w:line="480" w:lineRule="auto"/>
        <w:contextualSpacing/>
      </w:pPr>
    </w:p>
    <w:p w:rsidR="00C061B2" w:rsidRDefault="00C061B2" w:rsidP="001D1114">
      <w:pPr>
        <w:tabs>
          <w:tab w:val="left" w:pos="720"/>
        </w:tabs>
        <w:spacing w:line="480" w:lineRule="auto"/>
        <w:contextualSpacing/>
      </w:pPr>
    </w:p>
    <w:p w:rsidR="00C061B2" w:rsidRDefault="00C061B2" w:rsidP="001D1114">
      <w:pPr>
        <w:tabs>
          <w:tab w:val="left" w:pos="720"/>
        </w:tabs>
        <w:spacing w:line="480" w:lineRule="auto"/>
        <w:contextualSpacing/>
      </w:pPr>
    </w:p>
    <w:p w:rsidR="00C061B2" w:rsidRPr="008E1E22" w:rsidRDefault="00C061B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8E1E22" w:rsidRPr="00241573" w:rsidRDefault="008E1E22" w:rsidP="001D1114">
      <w:pPr>
        <w:tabs>
          <w:tab w:val="left" w:pos="720"/>
        </w:tabs>
        <w:spacing w:line="480" w:lineRule="auto"/>
        <w:contextualSpacing/>
        <w:jc w:val="center"/>
        <w:rPr>
          <w:sz w:val="28"/>
          <w:szCs w:val="28"/>
        </w:rPr>
      </w:pPr>
      <w:r w:rsidRPr="00241573">
        <w:rPr>
          <w:sz w:val="28"/>
          <w:szCs w:val="28"/>
        </w:rPr>
        <w:t>CHURCH AND STATE IN PROTESTANT TRADITION</w:t>
      </w: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r w:rsidRPr="008E1E22">
        <w:t>Submitted to:</w:t>
      </w:r>
    </w:p>
    <w:p w:rsidR="008E1E22" w:rsidRPr="008E1E22" w:rsidRDefault="008E1E22" w:rsidP="001D1114">
      <w:pPr>
        <w:tabs>
          <w:tab w:val="left" w:pos="720"/>
        </w:tabs>
        <w:spacing w:line="480" w:lineRule="auto"/>
        <w:contextualSpacing/>
      </w:pPr>
      <w:r w:rsidRPr="008E1E22">
        <w:t>Dr. Mackenzie</w:t>
      </w:r>
      <w:r w:rsidRPr="008E1E22">
        <w:tab/>
        <w:t xml:space="preserve"> </w:t>
      </w:r>
    </w:p>
    <w:p w:rsidR="008E1E22" w:rsidRPr="008E1E22" w:rsidRDefault="008E1E22" w:rsidP="001D1114">
      <w:pPr>
        <w:tabs>
          <w:tab w:val="left" w:pos="720"/>
        </w:tabs>
        <w:spacing w:line="480" w:lineRule="auto"/>
        <w:contextualSpacing/>
      </w:pPr>
      <w:r w:rsidRPr="008E1E22">
        <w:t>Dec.9,1955</w:t>
      </w:r>
    </w:p>
    <w:p w:rsidR="008E1E22" w:rsidRPr="008E1E22" w:rsidRDefault="008E1E22" w:rsidP="001D1114">
      <w:pPr>
        <w:tabs>
          <w:tab w:val="left" w:pos="720"/>
        </w:tabs>
        <w:spacing w:line="480" w:lineRule="auto"/>
        <w:contextualSpacing/>
      </w:pPr>
      <w:r w:rsidRPr="008E1E22">
        <w:t xml:space="preserve"> </w:t>
      </w:r>
    </w:p>
    <w:p w:rsidR="00C061B2" w:rsidRDefault="008E1E22" w:rsidP="001D1114">
      <w:pPr>
        <w:tabs>
          <w:tab w:val="left" w:pos="720"/>
        </w:tabs>
        <w:spacing w:line="480" w:lineRule="auto"/>
        <w:contextualSpacing/>
      </w:pPr>
      <w:r w:rsidRPr="008E1E22">
        <w:t>Submitted by:</w:t>
      </w:r>
      <w:r w:rsidR="00C061B2">
        <w:t xml:space="preserve"> </w:t>
      </w:r>
      <w:r w:rsidRPr="008E1E22">
        <w:t>J. E. Morton</w:t>
      </w:r>
    </w:p>
    <w:p w:rsidR="008E1E22" w:rsidRDefault="00C061B2" w:rsidP="008C6537">
      <w:pPr>
        <w:spacing w:line="480" w:lineRule="auto"/>
      </w:pPr>
      <w:r>
        <w:br w:type="page"/>
      </w:r>
      <w:r w:rsidR="008E1E22" w:rsidRPr="008E1E22">
        <w:lastRenderedPageBreak/>
        <w:tab/>
        <w:t>A study of the relationship between Church and State in the Protestant tradition reveals a transition worked out carefully and at great pains. A transition from the accepted position of the Church of the Middle Ages, that of a union of these two regulative agencies under one head. Perhaps it would be more accurate to describe the relationship in the traditional formula, the state being the secular arm of the church. However, we must consider this state of affairs as the background to the changes which have been instituted by the Protestant Theologians. We must ask ourselves, "How did things get that way?" Therefore, let us give our attention to:</w:t>
      </w:r>
    </w:p>
    <w:p w:rsidR="00C061B2" w:rsidRPr="008E1E22" w:rsidRDefault="00C061B2" w:rsidP="008C6537">
      <w:pPr>
        <w:spacing w:line="480" w:lineRule="auto"/>
      </w:pPr>
    </w:p>
    <w:p w:rsidR="008E1E22" w:rsidRDefault="008E1E22" w:rsidP="001D1114">
      <w:pPr>
        <w:tabs>
          <w:tab w:val="left" w:pos="720"/>
        </w:tabs>
        <w:spacing w:line="480" w:lineRule="auto"/>
        <w:contextualSpacing/>
        <w:rPr>
          <w:u w:val="single"/>
        </w:rPr>
      </w:pPr>
      <w:r w:rsidRPr="008E1E22">
        <w:rPr>
          <w:u w:val="single"/>
        </w:rPr>
        <w:t>THE DEVELOPMENT OF THE MIDDLE AGES CHURCH STATE ALLIANCE.</w:t>
      </w:r>
    </w:p>
    <w:p w:rsidR="00C061B2" w:rsidRPr="008E1E22" w:rsidRDefault="00C061B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r w:rsidRPr="008E1E22">
        <w:tab/>
        <w:t>Pentecost to Constantine is a relatively straightforward and uncomplicated period with regard to the question of the Church-State relationship. The Roman state was committed to opposition to the church, and while the church recognized in the state, even the persecuting state, a ministry of God for good, and not for evil, and while she freely yielded her obedience to it; yet, perforce, she kept her distance from the state and maintained that needed tension between herself and the state that made for a healthy and pure church. With the coming of the Constantinian period</w:t>
      </w:r>
      <w:r w:rsidR="00211716">
        <w:t>,</w:t>
      </w:r>
      <w:r w:rsidRPr="008E1E22">
        <w:t xml:space="preserve"> all this changed. The tension between the two was broken. The paths that had been parallel began to converge. It is no good to put the blame on Constantine, nor yet the church of Constantine’s day. As Bennet points out, the church could not, “write over her portals ‘Emperors not admitted’.” The</w:t>
      </w:r>
    </w:p>
    <w:p w:rsidR="008E1E22" w:rsidRPr="008E1E22" w:rsidRDefault="008E1E22" w:rsidP="001D1114">
      <w:pPr>
        <w:tabs>
          <w:tab w:val="left" w:pos="720"/>
        </w:tabs>
        <w:spacing w:line="480" w:lineRule="auto"/>
        <w:contextualSpacing/>
      </w:pPr>
      <w:r w:rsidRPr="008E1E22">
        <w:t>problem was not that she had conquered her world for Christ, but that she eventually came to imitate the world she had defeated. As time went on and the empire</w:t>
      </w:r>
    </w:p>
    <w:p w:rsidR="008E1E22" w:rsidRPr="008E1E22" w:rsidRDefault="008E1E22" w:rsidP="001D1114">
      <w:pPr>
        <w:tabs>
          <w:tab w:val="left" w:pos="720"/>
        </w:tabs>
        <w:spacing w:line="480" w:lineRule="auto"/>
        <w:contextualSpacing/>
      </w:pPr>
      <w:r w:rsidRPr="008E1E22">
        <w:lastRenderedPageBreak/>
        <w:t>began to break up, both from its inner corruption, and from outer pressures, the</w:t>
      </w:r>
    </w:p>
    <w:p w:rsidR="008E1E22" w:rsidRPr="008E1E22" w:rsidRDefault="008E1E22" w:rsidP="001D1114">
      <w:pPr>
        <w:tabs>
          <w:tab w:val="left" w:pos="720"/>
        </w:tabs>
        <w:spacing w:line="480" w:lineRule="auto"/>
        <w:contextualSpacing/>
      </w:pPr>
      <w:r w:rsidRPr="008E1E22">
        <w:t>responsibility for maintaining order in the face of impending chaos began to weigh heavily on the great leaders of the church. The world was being as it were "dumped in their laps” and they could not refuse to take it. More and more they came to rely on the political and secular forces of the old empire to maintain this order.</w:t>
      </w:r>
      <w:r w:rsidRPr="008E1E22">
        <w:tab/>
        <w:t>The great Sees arose, and especially the Roman see</w:t>
      </w:r>
      <w:r w:rsidRPr="008E1E22">
        <w:tab/>
        <w:t>became important.</w:t>
      </w:r>
    </w:p>
    <w:p w:rsidR="008E1E22" w:rsidRPr="008E1E22" w:rsidRDefault="008E1E22" w:rsidP="001D1114">
      <w:pPr>
        <w:tabs>
          <w:tab w:val="left" w:pos="720"/>
        </w:tabs>
        <w:spacing w:line="480" w:lineRule="auto"/>
        <w:contextualSpacing/>
      </w:pPr>
      <w:r w:rsidRPr="008E1E22">
        <w:t>The power of the empire passed into their hands, so that it came to be said that the popes were the true successors of the emperors. With Hildebrand and Innocent III the finalization of this process was achieved, and the state, in the hands of the kings and feudal lords, was made to confess its subservience to the Roman See. Not that this was completely unquestioned, or completely acceded to, there were always those ecclesiastical leaders who reserved their right to hold sway within their own territory, and there were those temporal rulers who gave obedience only grudgingly, but in general the theory of the church's primacy over the affairs of state came to be accepted. Even at this there would have been little objection to the church’s use of power if she had used it only for the maintenance of a just order, but she did not., She corrupted both herself and the power of state by using this power thrust into her hands for maintaining and enhancing her own glory, for subjecting her world to a religious strait-jacket. The secular arm became the mailed fist which impressed an outward conformity to a Christian behavior on the world. The more corrupt and self-seeking she became within herself the more galling the yoke of conformity became. Against this background of turbulent and enforced peace the Reformation commenced.</w:t>
      </w: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pPr>
    </w:p>
    <w:p w:rsidR="008E1E22" w:rsidRPr="008E1E22" w:rsidRDefault="008E1E22" w:rsidP="001D1114">
      <w:pPr>
        <w:tabs>
          <w:tab w:val="left" w:pos="720"/>
        </w:tabs>
        <w:spacing w:line="480" w:lineRule="auto"/>
        <w:contextualSpacing/>
        <w:rPr>
          <w:u w:val="single"/>
        </w:rPr>
      </w:pPr>
      <w:r w:rsidRPr="008E1E22">
        <w:rPr>
          <w:u w:val="single"/>
        </w:rPr>
        <w:t>THE REFOFMERS VIEWS OF CHURCH AND STATE.</w:t>
      </w:r>
    </w:p>
    <w:p w:rsidR="008E1E22" w:rsidRPr="008E1E22" w:rsidRDefault="008E1E22" w:rsidP="001D1114">
      <w:pPr>
        <w:tabs>
          <w:tab w:val="left" w:pos="720"/>
        </w:tabs>
        <w:spacing w:line="480" w:lineRule="auto"/>
        <w:contextualSpacing/>
      </w:pPr>
      <w:r w:rsidRPr="008E1E22">
        <w:t>Martin Luther when he started did not intend to lead a rebellion, but whether he intended to or not, his theological break with the church put a weapon in the hands of the feudal lords of the Germanic area. And the Reformation itself might easily have proved abortive had not the feudal lords added the weight of their power on his side in these territories. The Reformation in theology and the casting off of the bands of church-controlled state had to go together, they were two sides of the same coin. Luther found himself wrestling with the problem of making a positive policy regarding the relationship between Church and State. And indeed, he faced a peculiar situation within his domain, for there was no central power but rather a "large number and variety of political powers or sovereignties.” He is therefore inclined to think in terms of the Christian Nobility when he addresses himself to the task of considering government. He certainly gave no place in his thinking to the democratic state. Whale points out that Luther's medieval attitude toward natural law became a guiding principle for him in his attitude to the Church-State problem. He envisioned the hierarchal authority of parent over child, and of prince over subject as the ordained order of God not to be broken on the basis of the fourth commandment.</w:t>
      </w:r>
      <w:r w:rsidR="008E3D0C">
        <w:t xml:space="preserve"> </w:t>
      </w:r>
      <w:r w:rsidRPr="008E1E22">
        <w:t>To this he added the New Testament statements concerning the Christian duties with regard to rulers. With these he forged his doctrine of Church and State. Whale sums up the principles this way.</w:t>
      </w:r>
    </w:p>
    <w:p w:rsidR="00067B1F" w:rsidRPr="008E1E22" w:rsidRDefault="00303CA8" w:rsidP="001D1114">
      <w:pPr>
        <w:numPr>
          <w:ilvl w:val="0"/>
          <w:numId w:val="1"/>
        </w:numPr>
        <w:tabs>
          <w:tab w:val="left" w:pos="720"/>
        </w:tabs>
        <w:spacing w:line="480" w:lineRule="auto"/>
        <w:contextualSpacing/>
      </w:pPr>
      <w:r w:rsidRPr="008E1E22">
        <w:t>Luther is at pains to establish two scriptural principles:</w:t>
      </w:r>
    </w:p>
    <w:p w:rsidR="00067B1F" w:rsidRPr="008E1E22" w:rsidRDefault="00303CA8" w:rsidP="001D1114">
      <w:pPr>
        <w:numPr>
          <w:ilvl w:val="0"/>
          <w:numId w:val="2"/>
        </w:numPr>
        <w:tabs>
          <w:tab w:val="left" w:pos="720"/>
        </w:tabs>
        <w:spacing w:line="480" w:lineRule="auto"/>
        <w:contextualSpacing/>
      </w:pPr>
      <w:r w:rsidRPr="008E1E22">
        <w:t>The divine sanction of civil government, and its independence of all clerical tutelage or control.</w:t>
      </w:r>
    </w:p>
    <w:p w:rsidR="00067B1F" w:rsidRPr="008E1E22" w:rsidRDefault="00303CA8" w:rsidP="001D1114">
      <w:pPr>
        <w:numPr>
          <w:ilvl w:val="0"/>
          <w:numId w:val="2"/>
        </w:numPr>
        <w:tabs>
          <w:tab w:val="left" w:pos="720"/>
        </w:tabs>
        <w:spacing w:line="480" w:lineRule="auto"/>
        <w:contextualSpacing/>
      </w:pPr>
      <w:r w:rsidRPr="008E1E22">
        <w:lastRenderedPageBreak/>
        <w:t>The limits of this power, which may be exercised only over the bodies and goods of men, not in the domain of conscience, where man is answerable only to God.</w:t>
      </w:r>
    </w:p>
    <w:p w:rsidR="00067B1F" w:rsidRPr="008E1E22" w:rsidRDefault="00303CA8" w:rsidP="001D1114">
      <w:pPr>
        <w:numPr>
          <w:ilvl w:val="0"/>
          <w:numId w:val="1"/>
        </w:numPr>
        <w:tabs>
          <w:tab w:val="left" w:pos="720"/>
        </w:tabs>
        <w:spacing w:line="480" w:lineRule="auto"/>
        <w:contextualSpacing/>
      </w:pPr>
      <w:r w:rsidRPr="008E1E22">
        <w:t xml:space="preserve">Hence the title of the treatise which he devotes to this issue in January 1523: </w:t>
      </w:r>
      <w:r w:rsidRPr="008E1E22">
        <w:rPr>
          <w:i/>
        </w:rPr>
        <w:t>Of Civil Authority, and of the Limits of Obedience owed to it.</w:t>
      </w:r>
      <w:r w:rsidRPr="008E1E22">
        <w:t xml:space="preserve"> Written at the request of Duke John of Saxony, it develops ideas already expressed in </w:t>
      </w:r>
      <w:r w:rsidRPr="008E1E22">
        <w:rPr>
          <w:i/>
        </w:rPr>
        <w:t>The Address to the Nobility</w:t>
      </w:r>
      <w:r w:rsidRPr="008E1E22">
        <w:t>, and in the exposition of the fourth commandment in the Sermon on Good Works (march 1520), where Luther's characteristic paternalism supports a fourfold obedience to authority.</w:t>
      </w:r>
    </w:p>
    <w:p w:rsidR="00067B1F" w:rsidRPr="008E1E22" w:rsidRDefault="00303CA8" w:rsidP="001D1114">
      <w:pPr>
        <w:tabs>
          <w:tab w:val="left" w:pos="720"/>
        </w:tabs>
        <w:spacing w:line="480" w:lineRule="auto"/>
        <w:contextualSpacing/>
      </w:pPr>
      <w:r w:rsidRPr="008E1E22">
        <w:t>The treatise fights on three fronts: it repudiates three distinct views of the proper relation between State and Church:</w:t>
      </w:r>
    </w:p>
    <w:p w:rsidR="00067B1F" w:rsidRPr="008E1E22" w:rsidRDefault="00303CA8" w:rsidP="001D1114">
      <w:pPr>
        <w:numPr>
          <w:ilvl w:val="0"/>
          <w:numId w:val="3"/>
        </w:numPr>
        <w:tabs>
          <w:tab w:val="left" w:pos="720"/>
        </w:tabs>
        <w:spacing w:line="480" w:lineRule="auto"/>
        <w:contextualSpacing/>
      </w:pPr>
      <w:r w:rsidRPr="008E1E22">
        <w:t>The medieval, Roman view. Luther denies that the state, as the 'secular arm' of the church, has a duty to undertake religious persecution or coercion.</w:t>
      </w:r>
    </w:p>
    <w:p w:rsidR="00067B1F" w:rsidRPr="008E1E22" w:rsidRDefault="00303CA8" w:rsidP="001D1114">
      <w:pPr>
        <w:numPr>
          <w:ilvl w:val="0"/>
          <w:numId w:val="3"/>
        </w:numPr>
        <w:tabs>
          <w:tab w:val="left" w:pos="720"/>
        </w:tabs>
        <w:spacing w:line="480" w:lineRule="auto"/>
        <w:contextualSpacing/>
      </w:pPr>
      <w:r w:rsidRPr="008E1E22">
        <w:t>The ‘Machiavellian’ view. He denies that Christian men may be persecuted as such by the civil power for reasons of state.</w:t>
      </w:r>
    </w:p>
    <w:p w:rsidR="00067B1F" w:rsidRPr="008E1E22" w:rsidRDefault="00303CA8" w:rsidP="001D1114">
      <w:pPr>
        <w:numPr>
          <w:ilvl w:val="0"/>
          <w:numId w:val="3"/>
        </w:numPr>
        <w:tabs>
          <w:tab w:val="left" w:pos="720"/>
        </w:tabs>
        <w:spacing w:line="480" w:lineRule="auto"/>
        <w:contextualSpacing/>
      </w:pPr>
      <w:r w:rsidRPr="008E1E22">
        <w:t>The ‘anarchist’ view of Christian idealism and pacifism. He denies the ‘anabaptist’ thesis that because the Gospel forbids resistance to evil, the Christian state may not use force in the name of Law.</w:t>
      </w:r>
    </w:p>
    <w:p w:rsidR="00067B1F" w:rsidRPr="008E1E22" w:rsidRDefault="00303CA8" w:rsidP="001D1114">
      <w:pPr>
        <w:numPr>
          <w:ilvl w:val="0"/>
          <w:numId w:val="1"/>
        </w:numPr>
        <w:tabs>
          <w:tab w:val="left" w:pos="720"/>
        </w:tabs>
        <w:spacing w:line="480" w:lineRule="auto"/>
        <w:contextualSpacing/>
      </w:pPr>
      <w:r w:rsidRPr="008E1E22">
        <w:t>Luther distinguishes between:</w:t>
      </w:r>
    </w:p>
    <w:p w:rsidR="00067B1F" w:rsidRPr="008E1E22" w:rsidRDefault="00303CA8" w:rsidP="001D1114">
      <w:pPr>
        <w:numPr>
          <w:ilvl w:val="0"/>
          <w:numId w:val="4"/>
        </w:numPr>
        <w:tabs>
          <w:tab w:val="left" w:pos="720"/>
        </w:tabs>
        <w:spacing w:line="480" w:lineRule="auto"/>
        <w:contextualSpacing/>
      </w:pPr>
      <w:r w:rsidRPr="008E1E22">
        <w:t>Natural society--which, because of sin, cannot subsist without coercive</w:t>
      </w:r>
      <w:r w:rsidR="008E1E22" w:rsidRPr="008E1E22">
        <w:t xml:space="preserve"> </w:t>
      </w:r>
      <w:r w:rsidRPr="008E1E22">
        <w:t>sanctions of police force and sword.</w:t>
      </w:r>
    </w:p>
    <w:p w:rsidR="00067B1F" w:rsidRPr="008E1E22" w:rsidRDefault="00303CA8" w:rsidP="001D1114">
      <w:pPr>
        <w:numPr>
          <w:ilvl w:val="0"/>
          <w:numId w:val="4"/>
        </w:numPr>
        <w:tabs>
          <w:tab w:val="left" w:pos="720"/>
        </w:tabs>
        <w:spacing w:line="480" w:lineRule="auto"/>
        <w:contextualSpacing/>
      </w:pPr>
      <w:r w:rsidRPr="008E1E22">
        <w:lastRenderedPageBreak/>
        <w:t>The religious sphere where the Word is the only agency which may rightly be employed.</w:t>
      </w:r>
      <w:r w:rsidR="008E1E22" w:rsidRPr="008E1E22">
        <w:rPr>
          <w:vertAlign w:val="superscript"/>
        </w:rPr>
        <w:footnoteReference w:id="228"/>
      </w:r>
    </w:p>
    <w:p w:rsidR="008E1E22" w:rsidRPr="008E1E22" w:rsidRDefault="008E1E22" w:rsidP="001D1114">
      <w:pPr>
        <w:tabs>
          <w:tab w:val="left" w:pos="720"/>
        </w:tabs>
        <w:spacing w:line="480" w:lineRule="auto"/>
        <w:contextualSpacing/>
      </w:pPr>
      <w:r w:rsidRPr="008E1E22">
        <w:t>Because he lived in a society which was the embodiment of both of these spheres Luther, as indeed all the other reformers, had to wrestle with the problem of the mixing of the force of the state and the love of the gospel message. How could a sincere prince who wanted to practice Christian Love still fulfill his duties as a prince. Luther’s solution was in principle a separation of the two spheres.</w:t>
      </w:r>
      <w:r w:rsidRPr="008E1E22">
        <w:tab/>
        <w:t>But the solution in principle was not expedient in practice.</w:t>
      </w:r>
    </w:p>
    <w:p w:rsidR="008E1E22" w:rsidRPr="008E1E22" w:rsidRDefault="008E1E22" w:rsidP="001D1114">
      <w:pPr>
        <w:tabs>
          <w:tab w:val="left" w:pos="720"/>
        </w:tabs>
        <w:spacing w:line="480" w:lineRule="auto"/>
        <w:contextualSpacing/>
      </w:pPr>
      <w:r w:rsidRPr="008E1E22">
        <w:t>Luther finally solved this by placing both institutions in the hands of the same individual but as different functions. As Whale expresses it, ''What Luther is saying, in accordance with his paternalist presuppositions, is that the prince in his capacity as ‘elder brother’ or ‘eminent member’ of the religious community­ but not in his capacity</w:t>
      </w:r>
      <w:r w:rsidR="000C321D">
        <w:t xml:space="preserve"> </w:t>
      </w:r>
      <w:r w:rsidRPr="008E1E22">
        <w:t>as the representative and executor of temporal power-­ should help to organize the religious community, so that the ministry of the Word may be maintained.”</w:t>
      </w:r>
      <w:r w:rsidRPr="008E1E22">
        <w:rPr>
          <w:vertAlign w:val="superscript"/>
        </w:rPr>
        <w:footnoteReference w:id="229"/>
      </w:r>
      <w:r w:rsidRPr="008E1E22">
        <w:t xml:space="preserve"> This rather naive solution to the problem may have gone well for a while, but Luther's followers soon yielded to an Erastian subjection of the interests of the Church to the authority of the State. The Prince-Bishops became princes first, and because they were princes they were also bishops.</w:t>
      </w:r>
    </w:p>
    <w:p w:rsidR="008E1E22" w:rsidRPr="008E1E22" w:rsidRDefault="008E1E22" w:rsidP="001D1114">
      <w:pPr>
        <w:tabs>
          <w:tab w:val="left" w:pos="720"/>
        </w:tabs>
        <w:spacing w:line="480" w:lineRule="auto"/>
        <w:contextualSpacing/>
      </w:pPr>
      <w:r w:rsidRPr="008E1E22">
        <w:t>Calvin and his followers, though they were aiming at the same thing, made the attempt to solve the problem in just a slightly different way. Calvin's great overriding sense of the sovereignty of God guides his thinking concerning the attitude to take toward the state. The state</w:t>
      </w:r>
      <w:r w:rsidR="00211716">
        <w:t>’</w:t>
      </w:r>
      <w:r w:rsidRPr="008E1E22">
        <w:t xml:space="preserve">s authority is always limited and guided by this recognition. Yea more than this </w:t>
      </w:r>
      <w:r w:rsidRPr="008E1E22">
        <w:lastRenderedPageBreak/>
        <w:t>it finds its own charter in God's sovereignty. A Christian prince or magistrate may not fear to take life when God has commanded all men to cease from murder because he is in effect executing, not his own judgement but the judgement of God. Calvin says,</w:t>
      </w:r>
    </w:p>
    <w:p w:rsidR="008E1E22" w:rsidRPr="008E1E22" w:rsidRDefault="008E1E22" w:rsidP="001D1114">
      <w:pPr>
        <w:tabs>
          <w:tab w:val="left" w:pos="720"/>
        </w:tabs>
        <w:spacing w:line="240" w:lineRule="auto"/>
        <w:ind w:left="720"/>
        <w:contextualSpacing/>
      </w:pPr>
      <w:r w:rsidRPr="008E1E22">
        <w:t>If by the law of God all Christians are forbidden to kill., and the prophet predicts respecting the Church, that ‘they shall not hurt nor destroy in all my holy mountain, saith the Lord’, how can it be compatible with piety for magistrates to shed blood? But if we understand, that in the infliction of punishments., the magistrate does not act at all from himself, but merely executes the judgements of God, we shall not be embarrassed with this scruple . . . to hurt and to destroy are incompatible with the character of the godly: but to avenge the afflictions of the righteous at the command of God is neither to hurt nor to destroy.</w:t>
      </w:r>
      <w:r w:rsidRPr="008E1E22">
        <w:rPr>
          <w:vertAlign w:val="superscript"/>
        </w:rPr>
        <w:footnoteReference w:id="230"/>
      </w:r>
    </w:p>
    <w:p w:rsidR="008E1E22" w:rsidRPr="008E1E22" w:rsidRDefault="008E1E22" w:rsidP="001D1114">
      <w:pPr>
        <w:tabs>
          <w:tab w:val="left" w:pos="720"/>
        </w:tabs>
        <w:spacing w:line="480" w:lineRule="auto"/>
        <w:contextualSpacing/>
      </w:pPr>
    </w:p>
    <w:p w:rsidR="002E3F8F" w:rsidRDefault="008E1E22" w:rsidP="001D1114">
      <w:pPr>
        <w:tabs>
          <w:tab w:val="left" w:pos="720"/>
        </w:tabs>
        <w:spacing w:line="480" w:lineRule="auto"/>
        <w:contextualSpacing/>
      </w:pPr>
      <w:r w:rsidRPr="008E1E22">
        <w:t>And one is to give recognition to the ruler in the same consciousness, that he is rendering obedience to God and not to the man himself. Even in the case of a selfish and tyrannical ruler one is required to take the same steps of obedience. Only in the case of a state that attempts to overstep its bounds and to seduce the</w:t>
      </w:r>
      <w:r w:rsidR="002E3F8F">
        <w:t xml:space="preserve"> individual away from piety and the true worship of God is there liberty to resist, and this is the liberty to be true to the conscience at the risk of martyrdom.</w:t>
      </w:r>
    </w:p>
    <w:p w:rsidR="002E3F8F" w:rsidRDefault="002E3F8F" w:rsidP="001D1114">
      <w:pPr>
        <w:tabs>
          <w:tab w:val="left" w:pos="720"/>
        </w:tabs>
        <w:spacing w:line="240" w:lineRule="auto"/>
        <w:ind w:left="720"/>
        <w:contextualSpacing/>
      </w:pPr>
      <w:r>
        <w:t>But in the obedience which we have shown to be due to the authority of governors, it is always necessary to make one exception, and that is entitled to our first attention—that it do not seduce us from obedience to him, to whose will the desires of all kings ought to be subject, to whose decrees all their commands ought to yield.</w:t>
      </w:r>
      <w:r>
        <w:rPr>
          <w:rStyle w:val="FootnoteReference"/>
        </w:rPr>
        <w:footnoteReference w:id="231"/>
      </w:r>
    </w:p>
    <w:p w:rsidR="002E3F8F" w:rsidRDefault="002E3F8F" w:rsidP="001D1114">
      <w:pPr>
        <w:tabs>
          <w:tab w:val="left" w:pos="720"/>
        </w:tabs>
        <w:spacing w:line="480" w:lineRule="auto"/>
        <w:contextualSpacing/>
      </w:pPr>
    </w:p>
    <w:p w:rsidR="002E3F8F" w:rsidRDefault="002E3F8F" w:rsidP="001D1114">
      <w:pPr>
        <w:tabs>
          <w:tab w:val="left" w:pos="720"/>
        </w:tabs>
        <w:spacing w:line="480" w:lineRule="auto"/>
        <w:contextualSpacing/>
      </w:pPr>
      <w:r>
        <w:t>Calvin is willing to suggest however that if there be serious need of redress of grievances it may be possible to accomplish the breaking of tyranny by submitting your cause to some lesser magistrate and letting him as an instrument of God bring about the needed reform.</w:t>
      </w:r>
      <w:r>
        <w:tab/>
        <w:t xml:space="preserve"> For Calvin like Luther putting rebellion into the hand of the common man was </w:t>
      </w:r>
      <w:r>
        <w:lastRenderedPageBreak/>
        <w:t>unthinkable. Again, like Luther Calvin regards the spheres of the Church and State to be distinct and separate. He says,</w:t>
      </w:r>
    </w:p>
    <w:p w:rsidR="002E3F8F" w:rsidRDefault="002E3F8F" w:rsidP="001D1114">
      <w:pPr>
        <w:tabs>
          <w:tab w:val="left" w:pos="720"/>
        </w:tabs>
        <w:spacing w:line="240" w:lineRule="auto"/>
        <w:ind w:left="720"/>
        <w:contextualSpacing/>
      </w:pPr>
      <w:r>
        <w:t>He who knows how to distinguish between the body and the soul, between this present transitory life and the future eternal one, will find no difficulty in understanding that the spiritual kingdom of Christ and civil government are things very different.</w:t>
      </w:r>
      <w:r>
        <w:rPr>
          <w:rStyle w:val="FootnoteReference"/>
        </w:rPr>
        <w:footnoteReference w:id="232"/>
      </w:r>
    </w:p>
    <w:p w:rsidR="002E3F8F" w:rsidRDefault="002E3F8F" w:rsidP="001D1114">
      <w:pPr>
        <w:tabs>
          <w:tab w:val="left" w:pos="720"/>
        </w:tabs>
        <w:spacing w:line="240" w:lineRule="auto"/>
        <w:ind w:left="720"/>
        <w:contextualSpacing/>
      </w:pPr>
    </w:p>
    <w:p w:rsidR="002E3F8F" w:rsidRDefault="002E3F8F" w:rsidP="001D1114">
      <w:pPr>
        <w:tabs>
          <w:tab w:val="left" w:pos="720"/>
        </w:tabs>
        <w:spacing w:line="480" w:lineRule="auto"/>
        <w:contextualSpacing/>
      </w:pPr>
      <w:r>
        <w:t xml:space="preserve">Possibly Calvin was more practical and less theoretic and naive than Luther at this point. </w:t>
      </w:r>
    </w:p>
    <w:p w:rsidR="002E3F8F" w:rsidRDefault="00E8125C" w:rsidP="001D1114">
      <w:pPr>
        <w:tabs>
          <w:tab w:val="left" w:pos="720"/>
        </w:tabs>
        <w:spacing w:line="480" w:lineRule="auto"/>
        <w:contextualSpacing/>
      </w:pPr>
      <w:r>
        <w:t>H</w:t>
      </w:r>
      <w:r w:rsidR="002E3F8F">
        <w:t xml:space="preserve">is attempted formula for the relation between the ministers and the Councils in his own </w:t>
      </w:r>
      <w:r>
        <w:t>bailiwick</w:t>
      </w:r>
      <w:r w:rsidR="002E3F8F">
        <w:t xml:space="preserve"> certainly appear more workable than those of Luther. Perhaps it is fair to say that they might have worked had a man less in stature than </w:t>
      </w:r>
      <w:r>
        <w:t>C</w:t>
      </w:r>
      <w:r w:rsidR="002E3F8F">
        <w:t xml:space="preserve">alvin been the theologian and leading minister. It was Calvin himself that proved to be the undoing of the </w:t>
      </w:r>
      <w:r>
        <w:t>C</w:t>
      </w:r>
      <w:r w:rsidR="002E3F8F">
        <w:t>hurch-State</w:t>
      </w:r>
      <w:r>
        <w:t xml:space="preserve"> </w:t>
      </w:r>
      <w:r w:rsidR="002E3F8F">
        <w:t>relationship in Geneva.</w:t>
      </w:r>
      <w:r w:rsidR="002E3F8F">
        <w:tab/>
        <w:t>His great strength of personality plus his absolute conviction that he was the elected of God to do what he did literally tipped the balance of p</w:t>
      </w:r>
      <w:r>
        <w:t>o</w:t>
      </w:r>
      <w:r w:rsidR="002E3F8F">
        <w:t>wer both church and</w:t>
      </w:r>
      <w:r>
        <w:t xml:space="preserve"> </w:t>
      </w:r>
      <w:r w:rsidR="002E3F8F">
        <w:t>secular into his favor.</w:t>
      </w:r>
      <w:r>
        <w:t xml:space="preserve"> </w:t>
      </w:r>
      <w:r w:rsidR="002E3F8F">
        <w:t>Calvin is quite ready to recognize three forms of government,</w:t>
      </w:r>
      <w:r>
        <w:t xml:space="preserve"> </w:t>
      </w:r>
      <w:r w:rsidR="00211716">
        <w:t>m</w:t>
      </w:r>
      <w:r w:rsidR="002E3F8F">
        <w:t xml:space="preserve">onarchy, </w:t>
      </w:r>
      <w:r w:rsidR="00211716">
        <w:t>a</w:t>
      </w:r>
      <w:r w:rsidR="002E3F8F">
        <w:t xml:space="preserve">ristocracy, and democracy. </w:t>
      </w:r>
      <w:r>
        <w:t>T</w:t>
      </w:r>
      <w:r w:rsidR="002E3F8F">
        <w:t>he first and the last he holds to be to open to corruption, therefore he chooses the middle one, or at least a combination of the middle and the last</w:t>
      </w:r>
      <w:r>
        <w:t>.</w:t>
      </w:r>
    </w:p>
    <w:p w:rsidR="00E8125C" w:rsidRDefault="002E3F8F" w:rsidP="001D1114">
      <w:pPr>
        <w:tabs>
          <w:tab w:val="left" w:pos="720"/>
        </w:tabs>
        <w:spacing w:line="240" w:lineRule="auto"/>
        <w:ind w:left="720"/>
        <w:contextualSpacing/>
      </w:pPr>
      <w:r>
        <w:t xml:space="preserve">"I shall by no means deny, that either </w:t>
      </w:r>
      <w:r w:rsidR="00E8125C">
        <w:t>aristocracy</w:t>
      </w:r>
      <w:r>
        <w:t xml:space="preserve">, or a mixture of </w:t>
      </w:r>
      <w:r w:rsidR="00E8125C">
        <w:t>aristocracy</w:t>
      </w:r>
      <w:r>
        <w:t xml:space="preserve"> and democracy, far excels all others; and that indeed not of itself, but because it rarely happens that kings regulate themselves so that their will is never at variance with justice and rectitude; or, in th</w:t>
      </w:r>
      <w:r w:rsidR="00E8125C">
        <w:t>e n</w:t>
      </w:r>
      <w:r>
        <w:t>ext place, that they are endued</w:t>
      </w:r>
      <w:r w:rsidR="00E8125C">
        <w:t xml:space="preserve"> with such penetration and prudence, as in all cases to discover what is best. The vice or imperfection of men therefore renders it safer and more tolerable for the government to be in the hands of many, that they may afford each other mutual assistance and admonition, and that if any one arrogates to himself more than is right, the many may act as censors and masters to restrain his ambition.”</w:t>
      </w:r>
      <w:r w:rsidR="00FD6E68">
        <w:rPr>
          <w:rStyle w:val="FootnoteReference"/>
        </w:rPr>
        <w:footnoteReference w:id="233"/>
      </w:r>
    </w:p>
    <w:p w:rsidR="00E8125C" w:rsidRDefault="00E8125C" w:rsidP="001D1114">
      <w:pPr>
        <w:tabs>
          <w:tab w:val="left" w:pos="720"/>
        </w:tabs>
        <w:spacing w:line="240" w:lineRule="auto"/>
        <w:ind w:left="720"/>
        <w:contextualSpacing/>
      </w:pPr>
    </w:p>
    <w:p w:rsidR="00E8125C" w:rsidRDefault="00E8125C" w:rsidP="001D1114">
      <w:pPr>
        <w:tabs>
          <w:tab w:val="left" w:pos="720"/>
        </w:tabs>
        <w:spacing w:line="480" w:lineRule="auto"/>
        <w:contextualSpacing/>
      </w:pPr>
      <w:r>
        <w:lastRenderedPageBreak/>
        <w:t xml:space="preserve">Calvin sees something which Luther perhaps does not make clear, that is the importance of Law to the state. The Rule of Calvin's magistrate is not to be a purely arbitrary </w:t>
      </w:r>
      <w:r w:rsidR="00FD6E68">
        <w:t>one but</w:t>
      </w:r>
      <w:r>
        <w:t xml:space="preserve"> is to be controlled by law objective to the ruler, to which the ruler is in some measure responsible. He says,</w:t>
      </w:r>
    </w:p>
    <w:p w:rsidR="00E8125C" w:rsidRPr="00FD6E68" w:rsidRDefault="00E8125C" w:rsidP="001D1114">
      <w:pPr>
        <w:contextualSpacing/>
        <w:rPr>
          <w:szCs w:val="24"/>
        </w:rPr>
      </w:pPr>
      <w:r>
        <w:t>"From the magistracy, we next proceed to the laws, which are the strong nerves of civil polity, or, according to an appellation which Cicero has borrowed from Plato, the souls of states, without which magistracy cannot subsist, as, on the other hand, without</w:t>
      </w:r>
      <w:r w:rsidR="00FD6E68">
        <w:t xml:space="preserve"> magistrate’s</w:t>
      </w:r>
      <w:r>
        <w:t xml:space="preserve"> laws are of no force.</w:t>
      </w:r>
      <w:r w:rsidR="00FD6E68">
        <w:t>”</w:t>
      </w:r>
      <w:r w:rsidR="00FD6E68">
        <w:rPr>
          <w:rStyle w:val="FootnoteReference"/>
        </w:rPr>
        <w:footnoteReference w:id="234"/>
      </w:r>
    </w:p>
    <w:p w:rsidR="00211716" w:rsidRDefault="00211716" w:rsidP="001D1114">
      <w:pPr>
        <w:tabs>
          <w:tab w:val="left" w:pos="720"/>
        </w:tabs>
        <w:spacing w:line="480" w:lineRule="auto"/>
        <w:contextualSpacing/>
      </w:pPr>
    </w:p>
    <w:p w:rsidR="00E8125C" w:rsidRDefault="00E8125C" w:rsidP="001D1114">
      <w:pPr>
        <w:tabs>
          <w:tab w:val="left" w:pos="720"/>
        </w:tabs>
        <w:spacing w:line="480" w:lineRule="auto"/>
        <w:contextualSpacing/>
      </w:pPr>
      <w:r>
        <w:t xml:space="preserve">This law cannot be </w:t>
      </w:r>
      <w:r w:rsidR="00FD6E68">
        <w:t>conceived</w:t>
      </w:r>
      <w:r>
        <w:t xml:space="preserve"> of only in terms of the mosaic </w:t>
      </w:r>
      <w:r w:rsidR="00FD6E68">
        <w:t>law but</w:t>
      </w:r>
      <w:r>
        <w:t xml:space="preserve"> is rather a law</w:t>
      </w:r>
      <w:r w:rsidR="00FD6E68">
        <w:t xml:space="preserve"> </w:t>
      </w:r>
      <w:r>
        <w:t xml:space="preserve">developed with regard to the expediency of </w:t>
      </w:r>
      <w:r w:rsidR="00FD6E68">
        <w:t>the</w:t>
      </w:r>
      <w:r>
        <w:t xml:space="preserve"> particular circumstances.</w:t>
      </w:r>
      <w:r w:rsidR="00FD6E68">
        <w:t xml:space="preserve"> </w:t>
      </w:r>
      <w:r>
        <w:t>Thus</w:t>
      </w:r>
      <w:r w:rsidR="00FD6E68">
        <w:t>,</w:t>
      </w:r>
      <w:r>
        <w:t xml:space="preserve"> he argues that different punishments meted out for the s</w:t>
      </w:r>
      <w:r w:rsidR="00FD6E68">
        <w:t>am</w:t>
      </w:r>
      <w:r>
        <w:t>e o</w:t>
      </w:r>
      <w:r w:rsidR="00FD6E68">
        <w:t>f</w:t>
      </w:r>
      <w:r>
        <w:t>fences</w:t>
      </w:r>
      <w:r w:rsidR="00FD6E68">
        <w:t xml:space="preserve"> </w:t>
      </w:r>
      <w:r>
        <w:t xml:space="preserve">in different ages or countries do not contradict the </w:t>
      </w:r>
      <w:r w:rsidR="00FD6E68">
        <w:t>La</w:t>
      </w:r>
      <w:r>
        <w:t>w of God in the O. T. Perhaps Calvin's legal training stood him in good stead at this point.</w:t>
      </w:r>
      <w:r w:rsidR="00FD6E68">
        <w:t xml:space="preserve"> </w:t>
      </w:r>
      <w:r>
        <w:t>Again</w:t>
      </w:r>
      <w:r w:rsidR="00FD6E68">
        <w:t>,</w:t>
      </w:r>
      <w:r>
        <w:t xml:space="preserve"> we find that the spiritual descendants of Calvin were not able to keep their masters councils, and his dictum of passive resistance for conscience sake is quickly translated into active resistance for </w:t>
      </w:r>
      <w:r w:rsidR="00FD6E68">
        <w:t>existences</w:t>
      </w:r>
      <w:r>
        <w:t xml:space="preserve"> sake. So that after</w:t>
      </w:r>
    </w:p>
    <w:p w:rsidR="00E8125C" w:rsidRDefault="00E8125C" w:rsidP="001D1114">
      <w:pPr>
        <w:tabs>
          <w:tab w:val="left" w:pos="720"/>
        </w:tabs>
        <w:spacing w:line="480" w:lineRule="auto"/>
        <w:contextualSpacing/>
      </w:pPr>
      <w:r>
        <w:t xml:space="preserve">the St. </w:t>
      </w:r>
      <w:r w:rsidR="00FD6E68">
        <w:t>Bartholomew’s</w:t>
      </w:r>
      <w:r>
        <w:t xml:space="preserve"> day massacre the French </w:t>
      </w:r>
      <w:r w:rsidR="00FD6E68">
        <w:t>Huguenots</w:t>
      </w:r>
      <w:r>
        <w:t xml:space="preserve"> were given the freedom</w:t>
      </w:r>
    </w:p>
    <w:p w:rsidR="00E8125C" w:rsidRDefault="00E8125C" w:rsidP="001D1114">
      <w:pPr>
        <w:tabs>
          <w:tab w:val="left" w:pos="720"/>
        </w:tabs>
        <w:spacing w:line="480" w:lineRule="auto"/>
        <w:contextualSpacing/>
      </w:pPr>
      <w:r>
        <w:t>to take the sword, and John Knox could answer Mary's question about the refusal</w:t>
      </w:r>
      <w:r w:rsidR="00FD6E68">
        <w:t xml:space="preserve"> </w:t>
      </w:r>
      <w:r>
        <w:t xml:space="preserve">of the </w:t>
      </w:r>
      <w:r w:rsidR="00FD6E68">
        <w:t>apostles t</w:t>
      </w:r>
      <w:r>
        <w:t>o</w:t>
      </w:r>
      <w:r w:rsidR="00FD6E68">
        <w:t xml:space="preserve"> </w:t>
      </w:r>
      <w:r>
        <w:t xml:space="preserve">actively resist the </w:t>
      </w:r>
      <w:r w:rsidR="00FD6E68">
        <w:t>R</w:t>
      </w:r>
      <w:r>
        <w:t>oman authority with the reply</w:t>
      </w:r>
      <w:r w:rsidR="00FD6E68">
        <w:t xml:space="preserve"> </w:t>
      </w:r>
      <w:r>
        <w:t>that it</w:t>
      </w:r>
      <w:r w:rsidR="00FD6E68">
        <w:t xml:space="preserve"> </w:t>
      </w:r>
      <w:r>
        <w:t>was only because they lacke</w:t>
      </w:r>
      <w:r w:rsidR="00FD6E68">
        <w:t>d</w:t>
      </w:r>
      <w:r>
        <w:t xml:space="preserve"> the</w:t>
      </w:r>
      <w:r w:rsidR="00FD6E68">
        <w:t xml:space="preserve"> </w:t>
      </w:r>
      <w:r>
        <w:t>means to successfully resist that they did not</w:t>
      </w:r>
      <w:r w:rsidR="00FD6E68">
        <w:t>.</w:t>
      </w:r>
      <w:r>
        <w:t xml:space="preserve"> Thus</w:t>
      </w:r>
      <w:r w:rsidR="00FD6E68">
        <w:t>,</w:t>
      </w:r>
      <w:r>
        <w:t xml:space="preserve"> the notion arises that having the power to resist gives the people a right to resist.</w:t>
      </w:r>
    </w:p>
    <w:p w:rsidR="00FD6E68" w:rsidRDefault="00FD6E68" w:rsidP="001D1114">
      <w:pPr>
        <w:tabs>
          <w:tab w:val="left" w:pos="720"/>
        </w:tabs>
        <w:spacing w:line="480" w:lineRule="auto"/>
        <w:contextualSpacing/>
      </w:pPr>
      <w:r>
        <w:tab/>
      </w:r>
      <w:r w:rsidR="00E8125C">
        <w:t>In England again</w:t>
      </w:r>
      <w:r>
        <w:t>,</w:t>
      </w:r>
      <w:r w:rsidR="00E8125C">
        <w:t xml:space="preserve"> we have a different situation, and again a different solution to the question o</w:t>
      </w:r>
      <w:r>
        <w:t>f</w:t>
      </w:r>
      <w:r w:rsidR="00E8125C">
        <w:t xml:space="preserve"> the relation between Church and State.</w:t>
      </w:r>
      <w:r>
        <w:t xml:space="preserve"> </w:t>
      </w:r>
      <w:r w:rsidR="00E8125C">
        <w:t>Right from the beginning Erastian Principles were an important part of the church answer to the</w:t>
      </w:r>
      <w:r w:rsidR="00C16323">
        <w:t xml:space="preserve"> </w:t>
      </w:r>
      <w:r>
        <w:t>problem.</w:t>
      </w:r>
      <w:r w:rsidR="00C16323">
        <w:t xml:space="preserve"> </w:t>
      </w:r>
      <w:r>
        <w:t xml:space="preserve">Henry was intent </w:t>
      </w:r>
      <w:r>
        <w:lastRenderedPageBreak/>
        <w:t>on accomplishing a political end, and it</w:t>
      </w:r>
      <w:r w:rsidR="00C16323">
        <w:t xml:space="preserve"> </w:t>
      </w:r>
      <w:r>
        <w:t>was imperative that the state have some measure of control over the church</w:t>
      </w:r>
      <w:r w:rsidR="00C16323">
        <w:t xml:space="preserve">. </w:t>
      </w:r>
      <w:r>
        <w:t>He put at its head Cranmer a man who could in all</w:t>
      </w:r>
      <w:r w:rsidR="00C16323">
        <w:t xml:space="preserve"> </w:t>
      </w:r>
      <w:r>
        <w:t>sincerity</w:t>
      </w:r>
      <w:r w:rsidR="00C16323">
        <w:t xml:space="preserve"> </w:t>
      </w:r>
      <w:r>
        <w:t xml:space="preserve">advance the principles of, </w:t>
      </w:r>
      <w:r w:rsidR="00C16323">
        <w:t>E</w:t>
      </w:r>
      <w:r>
        <w:t>rastianism which were later to cost him his own life.</w:t>
      </w:r>
      <w:r w:rsidR="00C16323">
        <w:t xml:space="preserve"> </w:t>
      </w:r>
      <w:r>
        <w:t>The result as Bainton sees it,</w:t>
      </w:r>
    </w:p>
    <w:p w:rsidR="00FD6E68" w:rsidRDefault="00FD6E68" w:rsidP="001D1114">
      <w:pPr>
        <w:tabs>
          <w:tab w:val="left" w:pos="720"/>
        </w:tabs>
        <w:spacing w:line="240" w:lineRule="auto"/>
        <w:ind w:left="720"/>
        <w:contextualSpacing/>
      </w:pPr>
      <w:r>
        <w:t>"It was done. A national church with the king at its he</w:t>
      </w:r>
      <w:r w:rsidR="00C16323">
        <w:t>a</w:t>
      </w:r>
      <w:r>
        <w:t>d had been proclaimed with a logical clarity that was never achieved by Frenchmen or</w:t>
      </w:r>
      <w:r w:rsidR="00C16323">
        <w:t xml:space="preserve"> Spa</w:t>
      </w:r>
      <w:r>
        <w:t>niards, but only by</w:t>
      </w:r>
      <w:r w:rsidR="00C16323">
        <w:t xml:space="preserve"> </w:t>
      </w:r>
      <w:r>
        <w:t>Englishmen</w:t>
      </w:r>
      <w:r w:rsidR="00C16323">
        <w:t xml:space="preserve">. </w:t>
      </w:r>
      <w:r>
        <w:t>Something new had come into being for which there were partial</w:t>
      </w:r>
      <w:r w:rsidR="00C16323">
        <w:t xml:space="preserve"> </w:t>
      </w:r>
      <w:r>
        <w:t>but no complete precedents.</w:t>
      </w:r>
      <w:r w:rsidR="00C16323">
        <w:t>”</w:t>
      </w:r>
      <w:r w:rsidR="00C16323">
        <w:rPr>
          <w:rStyle w:val="FootnoteReference"/>
        </w:rPr>
        <w:footnoteReference w:id="235"/>
      </w:r>
    </w:p>
    <w:p w:rsidR="00C16323" w:rsidRDefault="00C16323" w:rsidP="001D1114">
      <w:pPr>
        <w:tabs>
          <w:tab w:val="left" w:pos="720"/>
        </w:tabs>
        <w:spacing w:line="240" w:lineRule="auto"/>
        <w:ind w:left="720"/>
        <w:contextualSpacing/>
      </w:pPr>
    </w:p>
    <w:p w:rsidR="00FD6E68" w:rsidRDefault="00FD6E68" w:rsidP="001D1114">
      <w:pPr>
        <w:tabs>
          <w:tab w:val="left" w:pos="720"/>
        </w:tabs>
        <w:spacing w:line="480" w:lineRule="auto"/>
        <w:contextualSpacing/>
      </w:pPr>
      <w:r>
        <w:t>The English church-state</w:t>
      </w:r>
      <w:r w:rsidR="00C16323">
        <w:t xml:space="preserve"> </w:t>
      </w:r>
      <w:r>
        <w:t>relationship was fixed from the very beginning by the fact that it was the state that assumed the responsibility</w:t>
      </w:r>
      <w:r w:rsidR="00C16323">
        <w:t xml:space="preserve"> f</w:t>
      </w:r>
      <w:r>
        <w:t>or reforming the character of the church not the church itself.</w:t>
      </w:r>
      <w:r w:rsidR="00C16323">
        <w:t xml:space="preserve"> </w:t>
      </w:r>
      <w:r>
        <w:t>The King placed</w:t>
      </w:r>
      <w:r w:rsidR="00C16323">
        <w:t xml:space="preserve"> </w:t>
      </w:r>
      <w:r>
        <w:t xml:space="preserve">himself at the head of the church and directed the </w:t>
      </w:r>
      <w:r w:rsidR="00C16323">
        <w:t>reformation in</w:t>
      </w:r>
      <w:r>
        <w:t xml:space="preserve"> the </w:t>
      </w:r>
      <w:r w:rsidR="00C16323">
        <w:t>“</w:t>
      </w:r>
      <w:r>
        <w:t>middle way</w:t>
      </w:r>
      <w:r w:rsidR="00211716">
        <w:t>.</w:t>
      </w:r>
      <w:r>
        <w:t>"</w:t>
      </w:r>
      <w:r w:rsidR="00C16323">
        <w:t xml:space="preserve"> </w:t>
      </w:r>
      <w:r>
        <w:t>Henry wanted a program of schism without heresy.</w:t>
      </w:r>
      <w:r w:rsidR="00C16323">
        <w:t xml:space="preserve"> </w:t>
      </w:r>
      <w:r>
        <w:t>The English church-state view represented the first</w:t>
      </w:r>
      <w:r w:rsidR="00C16323">
        <w:t xml:space="preserve"> </w:t>
      </w:r>
      <w:r>
        <w:t>true</w:t>
      </w:r>
      <w:r w:rsidR="00C16323">
        <w:t xml:space="preserve"> “totalitarian”</w:t>
      </w:r>
      <w:r>
        <w:t xml:space="preserve"> pr</w:t>
      </w:r>
      <w:r w:rsidR="00C16323">
        <w:t>a</w:t>
      </w:r>
      <w:r>
        <w:t>ctice within a nation.</w:t>
      </w:r>
      <w:r w:rsidR="00C16323">
        <w:t xml:space="preserve"> </w:t>
      </w:r>
      <w:r>
        <w:t>Not that it was altogether an unmixed</w:t>
      </w:r>
      <w:r w:rsidR="00C16323">
        <w:t xml:space="preserve"> </w:t>
      </w:r>
      <w:r>
        <w:t>evil. Whale writes,</w:t>
      </w:r>
    </w:p>
    <w:p w:rsidR="00FD6E68" w:rsidRDefault="00FD6E68" w:rsidP="001D1114">
      <w:pPr>
        <w:tabs>
          <w:tab w:val="left" w:pos="720"/>
        </w:tabs>
        <w:spacing w:line="240" w:lineRule="auto"/>
        <w:ind w:left="720"/>
        <w:contextualSpacing/>
      </w:pPr>
      <w:r>
        <w:t>We should remember that the Church-</w:t>
      </w:r>
      <w:r w:rsidR="00C16323">
        <w:t>S</w:t>
      </w:r>
      <w:r>
        <w:t xml:space="preserve">tate of Reformation England not only deprived </w:t>
      </w:r>
      <w:r w:rsidR="00C16323">
        <w:t>‘</w:t>
      </w:r>
      <w:r>
        <w:t>criminous</w:t>
      </w:r>
      <w:r w:rsidR="00C16323">
        <w:t>’</w:t>
      </w:r>
      <w:r>
        <w:t xml:space="preserve"> </w:t>
      </w:r>
      <w:r w:rsidR="00C16323">
        <w:t xml:space="preserve">(sic) </w:t>
      </w:r>
      <w:r>
        <w:t xml:space="preserve">clerks of the much abused1 </w:t>
      </w:r>
      <w:r w:rsidR="00C16323">
        <w:t>‘</w:t>
      </w:r>
      <w:r>
        <w:t>benefit</w:t>
      </w:r>
      <w:r w:rsidR="00C16323">
        <w:t xml:space="preserve"> </w:t>
      </w:r>
      <w:r>
        <w:t>of clergy</w:t>
      </w:r>
      <w:r w:rsidR="00C16323">
        <w:t>’</w:t>
      </w:r>
      <w:r>
        <w:t>; it also deprived the sturdy malefactor of that scandalous protection from justice which the livery of a great lo</w:t>
      </w:r>
      <w:r w:rsidR="00C16323">
        <w:t>r</w:t>
      </w:r>
      <w:r>
        <w:t>d gave him throughout the fifteenth century. In all this, the state was vindication nothing less than moral and even religious principles.</w:t>
      </w:r>
      <w:r w:rsidR="00C16323">
        <w:t xml:space="preserve"> </w:t>
      </w:r>
      <w:r>
        <w:t>It, too, was seeking to relate</w:t>
      </w:r>
      <w:r w:rsidR="00C16323">
        <w:t xml:space="preserve"> </w:t>
      </w:r>
      <w:r>
        <w:t>religion</w:t>
      </w:r>
      <w:r w:rsidR="00C16323">
        <w:t xml:space="preserve"> </w:t>
      </w:r>
      <w:r>
        <w:t>to life, even though its religious vision was often limited by worldly</w:t>
      </w:r>
      <w:r w:rsidR="00C16323">
        <w:t xml:space="preserve"> </w:t>
      </w:r>
      <w:r>
        <w:t>considerations, and its motive</w:t>
      </w:r>
      <w:r w:rsidR="001D4C0F">
        <w:t xml:space="preserve">s </w:t>
      </w:r>
      <w:r>
        <w:t>were sometimes</w:t>
      </w:r>
      <w:r w:rsidR="001D4C0F">
        <w:t xml:space="preserve"> </w:t>
      </w:r>
      <w:r>
        <w:t>dubious.</w:t>
      </w:r>
      <w:r w:rsidR="001D4C0F">
        <w:rPr>
          <w:rStyle w:val="FootnoteReference"/>
        </w:rPr>
        <w:footnoteReference w:id="236"/>
      </w:r>
    </w:p>
    <w:p w:rsidR="001D4C0F" w:rsidRDefault="001D4C0F" w:rsidP="001D1114">
      <w:pPr>
        <w:tabs>
          <w:tab w:val="left" w:pos="720"/>
        </w:tabs>
        <w:spacing w:line="240" w:lineRule="auto"/>
        <w:ind w:left="720"/>
        <w:contextualSpacing/>
      </w:pPr>
    </w:p>
    <w:p w:rsidR="00FD6E68" w:rsidRDefault="00FD6E68" w:rsidP="001D1114">
      <w:pPr>
        <w:tabs>
          <w:tab w:val="left" w:pos="720"/>
        </w:tabs>
        <w:spacing w:line="480" w:lineRule="auto"/>
        <w:contextualSpacing/>
      </w:pPr>
      <w:r>
        <w:t>This</w:t>
      </w:r>
      <w:r w:rsidR="001D4C0F">
        <w:t xml:space="preserve"> </w:t>
      </w:r>
      <w:r>
        <w:t>nation</w:t>
      </w:r>
      <w:r w:rsidR="001D4C0F">
        <w:t>a</w:t>
      </w:r>
      <w:r>
        <w:t>lism</w:t>
      </w:r>
      <w:r w:rsidR="001D4C0F">
        <w:t xml:space="preserve"> in</w:t>
      </w:r>
      <w:r>
        <w:t xml:space="preserve"> some sense represents the triumph of order over disorder within the Western Civilization, it was in a very real way a moral ad</w:t>
      </w:r>
      <w:r w:rsidR="001D4C0F">
        <w:t>v</w:t>
      </w:r>
      <w:r>
        <w:t>ance. As Whale puts it, "Against the background of fifteenth-century disintegration and anarchy</w:t>
      </w:r>
      <w:r w:rsidR="001D4C0F">
        <w:t xml:space="preserve"> </w:t>
      </w:r>
      <w:r>
        <w:t xml:space="preserve">it was totalitarianism at its best." Even at this however events proved that you could not leave the government of either the church or the state completely in the hands of one individual </w:t>
      </w:r>
      <w:r>
        <w:lastRenderedPageBreak/>
        <w:t>with impu</w:t>
      </w:r>
      <w:r w:rsidR="001D4C0F">
        <w:t>nit</w:t>
      </w:r>
      <w:r>
        <w:t>y. The ascension of Mary and the fires of Smithfield</w:t>
      </w:r>
      <w:r w:rsidR="001D4C0F">
        <w:t xml:space="preserve"> </w:t>
      </w:r>
      <w:r>
        <w:t xml:space="preserve">began to open </w:t>
      </w:r>
      <w:r w:rsidR="001D4C0F">
        <w:t>people’s</w:t>
      </w:r>
      <w:r>
        <w:t xml:space="preserve"> eyes, and eventually the theories of the </w:t>
      </w:r>
      <w:r w:rsidR="001D4C0F">
        <w:t>“</w:t>
      </w:r>
      <w:r>
        <w:t>Covenant</w:t>
      </w:r>
      <w:r w:rsidR="001D4C0F">
        <w:t>”</w:t>
      </w:r>
      <w:r>
        <w:t xml:space="preserve"> which were already being expressed on the </w:t>
      </w:r>
      <w:r w:rsidR="001D4C0F">
        <w:t>co</w:t>
      </w:r>
      <w:r>
        <w:t>ntinent began to take hold. The d</w:t>
      </w:r>
      <w:r w:rsidR="001D4C0F">
        <w:t>a</w:t>
      </w:r>
      <w:r>
        <w:t>y would come when the people would have a much gre</w:t>
      </w:r>
      <w:r w:rsidR="001D4C0F">
        <w:t>a</w:t>
      </w:r>
      <w:r>
        <w:t>ter voice in</w:t>
      </w:r>
      <w:r w:rsidR="001D4C0F">
        <w:t xml:space="preserve"> </w:t>
      </w:r>
      <w:r>
        <w:t>the government both of the church and the state.</w:t>
      </w:r>
    </w:p>
    <w:p w:rsidR="001D4C0F" w:rsidRDefault="001D4C0F" w:rsidP="001D1114">
      <w:pPr>
        <w:tabs>
          <w:tab w:val="left" w:pos="720"/>
        </w:tabs>
        <w:spacing w:line="480" w:lineRule="auto"/>
        <w:contextualSpacing/>
      </w:pPr>
      <w:r>
        <w:tab/>
        <w:t>There is yet one other group coming out of the reformation pattern that we must give consideration to. This is the much-maligned Anabaptists. They appear to have been the Christian Idealists of their day. With little or no consideration for the character of the world around them</w:t>
      </w:r>
      <w:r w:rsidR="00211716">
        <w:t>,</w:t>
      </w:r>
      <w:r>
        <w:t xml:space="preserve"> they desired to put into immediate effect the patterns of love and non-resistance which they discovered in their New Testaments. Their attitude toward government, was not one of anarchy, they acknowledged the need of such a state, and they yielded obedience to it when they could without hurting their conscience. And when they must resist they did so by meekly suffering the penalties imposed, with some few exceptions. Bainton says,</w:t>
      </w:r>
    </w:p>
    <w:p w:rsidR="001D4C0F" w:rsidRDefault="001D4C0F" w:rsidP="001D1114">
      <w:pPr>
        <w:tabs>
          <w:tab w:val="left" w:pos="720"/>
        </w:tabs>
        <w:spacing w:line="240" w:lineRule="auto"/>
        <w:ind w:left="720"/>
        <w:contextualSpacing/>
      </w:pPr>
      <w:r>
        <w:t>“Here then, was a program not only of religious liberty and the separation of Church and State, but also of pacifism and complete abstention from public life. The Anabaptists for the most part were not revolutio</w:t>
      </w:r>
      <w:r w:rsidR="009656CF">
        <w:t>nar</w:t>
      </w:r>
      <w:r>
        <w:t>y</w:t>
      </w:r>
      <w:r w:rsidR="009656CF">
        <w:t xml:space="preserve">—there </w:t>
      </w:r>
      <w:r>
        <w:t>were indeed a few marauders who because they left their children unbaptized were called Anabaptists, and there were a few among the early Anabaptists who would not go the whole way</w:t>
      </w:r>
      <w:r w:rsidR="009656CF">
        <w:t xml:space="preserve"> </w:t>
      </w:r>
      <w:r>
        <w:t xml:space="preserve">on the repudiation of the sword. The great majority, however, obeyed the government in matters not directly contrary to </w:t>
      </w:r>
      <w:r w:rsidR="009656CF">
        <w:t>t</w:t>
      </w:r>
      <w:r>
        <w:t>heir tenets, disobeyed when conscience required, and suffered meekly whatever penalties</w:t>
      </w:r>
      <w:r w:rsidR="009656CF">
        <w:t xml:space="preserve"> </w:t>
      </w:r>
      <w:r>
        <w:t>were imposed."</w:t>
      </w:r>
      <w:r w:rsidR="009656CF">
        <w:rPr>
          <w:rStyle w:val="FootnoteReference"/>
        </w:rPr>
        <w:footnoteReference w:id="237"/>
      </w:r>
    </w:p>
    <w:p w:rsidR="009656CF" w:rsidRDefault="009656CF" w:rsidP="001D1114">
      <w:pPr>
        <w:tabs>
          <w:tab w:val="left" w:pos="720"/>
        </w:tabs>
        <w:spacing w:line="240" w:lineRule="auto"/>
        <w:ind w:left="720"/>
        <w:contextualSpacing/>
      </w:pPr>
    </w:p>
    <w:p w:rsidR="001D4C0F" w:rsidRDefault="001D4C0F" w:rsidP="001D1114">
      <w:pPr>
        <w:tabs>
          <w:tab w:val="left" w:pos="720"/>
        </w:tabs>
        <w:spacing w:line="480" w:lineRule="auto"/>
        <w:contextualSpacing/>
      </w:pPr>
      <w:r>
        <w:t xml:space="preserve">They were in essence the </w:t>
      </w:r>
      <w:r w:rsidR="009656CF">
        <w:t>“C</w:t>
      </w:r>
      <w:r>
        <w:t>hurch</w:t>
      </w:r>
      <w:r w:rsidR="009656CF">
        <w:t xml:space="preserve"> Wi</w:t>
      </w:r>
      <w:r>
        <w:t>thdrawn</w:t>
      </w:r>
      <w:r w:rsidR="009656CF">
        <w:t xml:space="preserve">,” </w:t>
      </w:r>
      <w:r>
        <w:t>and had not much positive affect</w:t>
      </w:r>
      <w:r w:rsidR="009656CF">
        <w:t xml:space="preserve"> </w:t>
      </w:r>
      <w:r>
        <w:t xml:space="preserve">on </w:t>
      </w:r>
      <w:r w:rsidR="009656CF">
        <w:t>the formation</w:t>
      </w:r>
      <w:r>
        <w:t xml:space="preserve"> of the government of their day. And yet it was, without a doubt, the patient suffering of these people, and their continual </w:t>
      </w:r>
      <w:r w:rsidR="009656CF">
        <w:t xml:space="preserve">insistence </w:t>
      </w:r>
      <w:r>
        <w:t>on the separation</w:t>
      </w:r>
      <w:r w:rsidR="009656CF">
        <w:t xml:space="preserve"> </w:t>
      </w:r>
      <w:r>
        <w:t xml:space="preserve">of </w:t>
      </w:r>
      <w:r w:rsidR="009656CF">
        <w:t>C</w:t>
      </w:r>
      <w:r>
        <w:t xml:space="preserve">hurch and </w:t>
      </w:r>
      <w:r w:rsidR="009656CF">
        <w:t>Sta</w:t>
      </w:r>
      <w:r>
        <w:t>te that was to be the ultimate answer.</w:t>
      </w:r>
      <w:r w:rsidR="009656CF">
        <w:t xml:space="preserve"> </w:t>
      </w:r>
      <w:r>
        <w:t>The Covenant and the Puritan</w:t>
      </w:r>
      <w:r w:rsidR="009656CF">
        <w:t xml:space="preserve"> </w:t>
      </w:r>
      <w:r>
        <w:lastRenderedPageBreak/>
        <w:t xml:space="preserve">Congregationalism were at best only a half-way solution it was not till the control of the state was </w:t>
      </w:r>
      <w:r w:rsidR="009656CF">
        <w:t>separated</w:t>
      </w:r>
      <w:r>
        <w:t xml:space="preserve"> from the control of the church, and the church was free to</w:t>
      </w:r>
      <w:r w:rsidR="009656CF">
        <w:t xml:space="preserve"> </w:t>
      </w:r>
      <w:r>
        <w:t>guard her own purity fro</w:t>
      </w:r>
      <w:r w:rsidR="009656CF">
        <w:t>m</w:t>
      </w:r>
      <w:r>
        <w:t xml:space="preserve"> alien spirits that</w:t>
      </w:r>
      <w:r w:rsidR="009656CF">
        <w:t xml:space="preserve"> </w:t>
      </w:r>
      <w:r>
        <w:t>she was willing to suffer the free exercise of civil liberty to all. And rightly so for when free franchise</w:t>
      </w:r>
      <w:r w:rsidR="009656CF">
        <w:t xml:space="preserve"> </w:t>
      </w:r>
      <w:r>
        <w:t xml:space="preserve">meant the right to control the church also, the church could never stand </w:t>
      </w:r>
      <w:r w:rsidR="009656CF">
        <w:t xml:space="preserve">for </w:t>
      </w:r>
      <w:r>
        <w:t>such control by unsympathetic and impious men. The age to come w as to belong to the Anabaptists.</w:t>
      </w:r>
    </w:p>
    <w:p w:rsidR="009656CF" w:rsidRDefault="009656CF" w:rsidP="001D1114">
      <w:pPr>
        <w:tabs>
          <w:tab w:val="left" w:pos="720"/>
        </w:tabs>
        <w:spacing w:line="480" w:lineRule="auto"/>
        <w:contextualSpacing/>
      </w:pPr>
      <w:r>
        <w:tab/>
      </w:r>
      <w:r w:rsidR="001D4C0F">
        <w:t>We might sum up this brief account with a few general observations.</w:t>
      </w:r>
      <w:r>
        <w:t xml:space="preserve"> </w:t>
      </w:r>
      <w:r w:rsidR="001D4C0F">
        <w:t>All of the refo</w:t>
      </w:r>
      <w:r>
        <w:t>rm</w:t>
      </w:r>
      <w:r w:rsidR="001D4C0F">
        <w:t xml:space="preserve"> movements were in a sense striving for the same goal, what Whale</w:t>
      </w:r>
      <w:r>
        <w:t xml:space="preserve"> </w:t>
      </w:r>
      <w:r w:rsidR="001D4C0F">
        <w:t xml:space="preserve">calls </w:t>
      </w:r>
      <w:r>
        <w:t>“</w:t>
      </w:r>
      <w:r w:rsidR="001D4C0F">
        <w:t>The crown rights of the Redeemer". They all</w:t>
      </w:r>
      <w:r>
        <w:t xml:space="preserve"> sou</w:t>
      </w:r>
      <w:r w:rsidR="001D4C0F">
        <w:t>ght to set Christ</w:t>
      </w:r>
      <w:r>
        <w:t xml:space="preserve"> </w:t>
      </w:r>
      <w:r w:rsidR="001D4C0F">
        <w:t>forth as the</w:t>
      </w:r>
      <w:r w:rsidR="00B357BC">
        <w:t xml:space="preserve"> </w:t>
      </w:r>
      <w:r>
        <w:t>Lord of all, though by different methods.</w:t>
      </w:r>
      <w:r w:rsidR="00B357BC">
        <w:t xml:space="preserve"> </w:t>
      </w:r>
      <w:r>
        <w:t>They all started with the government that they were existing under, with the exception of the Anabaptists who started with a Biblical idealism. It is indeed striki</w:t>
      </w:r>
      <w:r w:rsidR="00B357BC">
        <w:t xml:space="preserve">ng </w:t>
      </w:r>
      <w:r>
        <w:t>to find that e&amp;.ch reformer puts his stamp of approval</w:t>
      </w:r>
      <w:r w:rsidR="00B357BC">
        <w:t xml:space="preserve"> </w:t>
      </w:r>
      <w:r>
        <w:t>on the very form of government prevalent</w:t>
      </w:r>
      <w:r w:rsidR="00B357BC">
        <w:t xml:space="preserve"> </w:t>
      </w:r>
      <w:r>
        <w:t>in his own territory when reformation opens.</w:t>
      </w:r>
      <w:r>
        <w:tab/>
        <w:t>Each reformation group represents a gradual movement away f</w:t>
      </w:r>
      <w:r w:rsidR="00B357BC">
        <w:t>r</w:t>
      </w:r>
      <w:r>
        <w:t>om initial principles.</w:t>
      </w:r>
      <w:r w:rsidR="00B357BC">
        <w:t xml:space="preserve"> </w:t>
      </w:r>
      <w:r>
        <w:t>First by allowing active resistance, and then by gradu</w:t>
      </w:r>
      <w:r w:rsidR="00B357BC">
        <w:t>a</w:t>
      </w:r>
      <w:r>
        <w:t>lly giving mo</w:t>
      </w:r>
      <w:r w:rsidR="00B357BC">
        <w:t>r</w:t>
      </w:r>
      <w:r>
        <w:t>e and more weight to the decision of the co</w:t>
      </w:r>
      <w:r w:rsidR="00B357BC">
        <w:t>mm</w:t>
      </w:r>
      <w:r>
        <w:t>on man.</w:t>
      </w:r>
    </w:p>
    <w:p w:rsidR="009656CF" w:rsidRPr="00B357BC" w:rsidRDefault="009656CF" w:rsidP="001D1114">
      <w:pPr>
        <w:tabs>
          <w:tab w:val="left" w:pos="720"/>
        </w:tabs>
        <w:spacing w:line="480" w:lineRule="auto"/>
        <w:contextualSpacing/>
        <w:rPr>
          <w:u w:val="single"/>
        </w:rPr>
      </w:pPr>
      <w:r w:rsidRPr="00B357BC">
        <w:rPr>
          <w:u w:val="single"/>
        </w:rPr>
        <w:t>THEOL</w:t>
      </w:r>
      <w:r w:rsidR="00211716">
        <w:rPr>
          <w:u w:val="single"/>
        </w:rPr>
        <w:t>O</w:t>
      </w:r>
      <w:r w:rsidRPr="00B357BC">
        <w:rPr>
          <w:u w:val="single"/>
        </w:rPr>
        <w:t>GICAL IMPLICATIONS</w:t>
      </w:r>
    </w:p>
    <w:p w:rsidR="00B357BC" w:rsidRDefault="00B357BC" w:rsidP="001D1114">
      <w:pPr>
        <w:tabs>
          <w:tab w:val="left" w:pos="720"/>
        </w:tabs>
        <w:spacing w:line="480" w:lineRule="auto"/>
        <w:contextualSpacing/>
      </w:pPr>
      <w:r>
        <w:tab/>
      </w:r>
      <w:r w:rsidR="009656CF">
        <w:t>It is interesting to not</w:t>
      </w:r>
      <w:r>
        <w:t>e</w:t>
      </w:r>
      <w:r w:rsidR="009656CF">
        <w:t xml:space="preserve"> that the same questions that the Ref</w:t>
      </w:r>
      <w:r>
        <w:t>o</w:t>
      </w:r>
      <w:r w:rsidR="009656CF">
        <w:t>rmers were asking and trying to answer are still before us, and still have to be answered. We must still seek to resolve the basic tension between the l</w:t>
      </w:r>
      <w:r>
        <w:t>a</w:t>
      </w:r>
      <w:r w:rsidR="009656CF">
        <w:t>w of love and of non-resistance and of personal cross bearing and that other principle of using</w:t>
      </w:r>
      <w:r>
        <w:t xml:space="preserve"> </w:t>
      </w:r>
      <w:r w:rsidR="009656CF">
        <w:t xml:space="preserve">force to maintain the </w:t>
      </w:r>
      <w:r>
        <w:t>ordered</w:t>
      </w:r>
      <w:r w:rsidR="009656CF">
        <w:t xml:space="preserve"> society. In the days of A-bombs, B-bombs, and U-bombs dare we cling to the Knoxia</w:t>
      </w:r>
      <w:r>
        <w:t>n</w:t>
      </w:r>
      <w:r w:rsidR="009656CF">
        <w:t xml:space="preserve"> principle that having the power to resist gives the right to resist.</w:t>
      </w:r>
      <w:r>
        <w:t xml:space="preserve"> </w:t>
      </w:r>
      <w:r w:rsidR="009656CF">
        <w:t xml:space="preserve">On the other </w:t>
      </w:r>
      <w:r>
        <w:t>h</w:t>
      </w:r>
      <w:r w:rsidR="009656CF">
        <w:t>and</w:t>
      </w:r>
      <w:r>
        <w:t>,</w:t>
      </w:r>
      <w:r w:rsidR="009656CF">
        <w:t xml:space="preserve"> in the </w:t>
      </w:r>
      <w:r>
        <w:t>presence</w:t>
      </w:r>
      <w:r w:rsidR="009656CF">
        <w:t xml:space="preserve"> of </w:t>
      </w:r>
      <w:r w:rsidR="009656CF">
        <w:lastRenderedPageBreak/>
        <w:t>tot</w:t>
      </w:r>
      <w:r>
        <w:t>a</w:t>
      </w:r>
      <w:r w:rsidR="009656CF">
        <w:t>l</w:t>
      </w:r>
      <w:r>
        <w:t>it</w:t>
      </w:r>
      <w:r w:rsidR="009656CF">
        <w:t>arian secul</w:t>
      </w:r>
      <w:r>
        <w:t>a</w:t>
      </w:r>
      <w:r w:rsidR="009656CF">
        <w:t xml:space="preserve">r or </w:t>
      </w:r>
      <w:r>
        <w:t>atheist</w:t>
      </w:r>
      <w:r w:rsidR="009656CF">
        <w:t xml:space="preserve"> governments, dare </w:t>
      </w:r>
      <w:r>
        <w:t>w</w:t>
      </w:r>
      <w:r w:rsidR="009656CF">
        <w:t>e say to our people that we must be subject to the powers that be without</w:t>
      </w:r>
      <w:r>
        <w:t xml:space="preserve"> </w:t>
      </w:r>
      <w:r w:rsidR="009656CF">
        <w:t>reserv</w:t>
      </w:r>
      <w:r>
        <w:t>a</w:t>
      </w:r>
      <w:r w:rsidR="009656CF">
        <w:t>tions</w:t>
      </w:r>
      <w:r>
        <w:t xml:space="preserve"> as</w:t>
      </w:r>
      <w:r w:rsidR="009656CF">
        <w:t xml:space="preserve"> Luther might have said?</w:t>
      </w:r>
      <w:r>
        <w:t xml:space="preserve"> </w:t>
      </w:r>
      <w:r w:rsidR="009656CF">
        <w:t>In the days of brainwashing, and of skilled propagandists shall we not fear to leave the force</w:t>
      </w:r>
      <w:r>
        <w:t xml:space="preserve"> </w:t>
      </w:r>
      <w:r w:rsidR="009656CF">
        <w:t xml:space="preserve">of conscience </w:t>
      </w:r>
      <w:r>
        <w:t>a</w:t>
      </w:r>
      <w:r w:rsidR="009656CF">
        <w:t>s the only safeguard for Christian Life?</w:t>
      </w:r>
      <w:r w:rsidR="009656CF">
        <w:tab/>
      </w:r>
      <w:r>
        <w:t>Certainly,</w:t>
      </w:r>
      <w:r w:rsidR="009656CF">
        <w:t xml:space="preserve"> we can affirm that there remain truths which have a bearing upon this problem.</w:t>
      </w:r>
    </w:p>
    <w:p w:rsidR="009656CF" w:rsidRDefault="00B357BC" w:rsidP="001D1114">
      <w:pPr>
        <w:tabs>
          <w:tab w:val="left" w:pos="720"/>
        </w:tabs>
        <w:spacing w:line="480" w:lineRule="auto"/>
        <w:contextualSpacing/>
      </w:pPr>
      <w:r>
        <w:t xml:space="preserve">1) </w:t>
      </w:r>
      <w:r w:rsidR="009656CF">
        <w:t>That Jesus Christ is the Lord of History. Of this we are convinced.</w:t>
      </w:r>
      <w:r>
        <w:t xml:space="preserve"> </w:t>
      </w:r>
      <w:r w:rsidR="009656CF">
        <w:t>Whatever is coming</w:t>
      </w:r>
      <w:r>
        <w:t xml:space="preserve"> </w:t>
      </w:r>
      <w:r w:rsidR="009656CF">
        <w:t>to pass is doing so under his watchful</w:t>
      </w:r>
      <w:r>
        <w:t xml:space="preserve"> </w:t>
      </w:r>
      <w:r w:rsidR="009656CF">
        <w:t xml:space="preserve">eye and will ultimately redound to His </w:t>
      </w:r>
      <w:r>
        <w:t>g</w:t>
      </w:r>
      <w:r w:rsidR="009656CF">
        <w:t>lory.</w:t>
      </w:r>
    </w:p>
    <w:p w:rsidR="00B357BC" w:rsidRDefault="009656CF" w:rsidP="001D1114">
      <w:pPr>
        <w:tabs>
          <w:tab w:val="left" w:pos="720"/>
        </w:tabs>
        <w:spacing w:line="480" w:lineRule="auto"/>
        <w:contextualSpacing/>
      </w:pPr>
      <w:r>
        <w:t>2</w:t>
      </w:r>
      <w:r w:rsidR="00B357BC">
        <w:t>)</w:t>
      </w:r>
      <w:r>
        <w:t xml:space="preserve"> That a Social matrix is </w:t>
      </w:r>
      <w:r w:rsidR="00B357BC">
        <w:t>necessary</w:t>
      </w:r>
      <w:r>
        <w:t xml:space="preserve"> to the operation of the church. It is Professor </w:t>
      </w:r>
      <w:bookmarkStart w:id="73" w:name="_Hlk519541776"/>
      <w:r>
        <w:t xml:space="preserve">Brunner in his book </w:t>
      </w:r>
      <w:r w:rsidRPr="00B357BC">
        <w:rPr>
          <w:i/>
        </w:rPr>
        <w:t>Justice and the Soci</w:t>
      </w:r>
      <w:r w:rsidR="00B357BC" w:rsidRPr="00B357BC">
        <w:rPr>
          <w:i/>
        </w:rPr>
        <w:t xml:space="preserve">al </w:t>
      </w:r>
      <w:r w:rsidRPr="00B357BC">
        <w:rPr>
          <w:i/>
        </w:rPr>
        <w:t>Order</w:t>
      </w:r>
      <w:bookmarkEnd w:id="73"/>
      <w:r w:rsidR="00B357BC">
        <w:t xml:space="preserve"> </w:t>
      </w:r>
      <w:r>
        <w:t>who points out that we may be in danger of trying</w:t>
      </w:r>
      <w:r w:rsidR="00B357BC">
        <w:t>,</w:t>
      </w:r>
      <w:r>
        <w:t xml:space="preserve"> in our sentimental love of trying</w:t>
      </w:r>
      <w:r w:rsidR="00B357BC">
        <w:t>,</w:t>
      </w:r>
      <w:r>
        <w:t xml:space="preserve"> to </w:t>
      </w:r>
      <w:r w:rsidR="00B357BC">
        <w:t>dissolve</w:t>
      </w:r>
      <w:r>
        <w:t xml:space="preserve"> the </w:t>
      </w:r>
      <w:r w:rsidR="00B357BC">
        <w:t>matrix</w:t>
      </w:r>
      <w:r>
        <w:t xml:space="preserve"> of society, and if we do so we will have defeated</w:t>
      </w:r>
      <w:r w:rsidR="00B357BC">
        <w:t xml:space="preserve"> </w:t>
      </w:r>
      <w:r>
        <w:t>our own purpose</w:t>
      </w:r>
      <w:r w:rsidR="00B357BC">
        <w:t>.</w:t>
      </w:r>
    </w:p>
    <w:p w:rsidR="009656CF" w:rsidRDefault="009656CF" w:rsidP="001D1114">
      <w:pPr>
        <w:tabs>
          <w:tab w:val="left" w:pos="720"/>
        </w:tabs>
        <w:spacing w:line="480" w:lineRule="auto"/>
        <w:contextualSpacing/>
      </w:pPr>
      <w:r>
        <w:t>3</w:t>
      </w:r>
      <w:r w:rsidR="00B357BC">
        <w:t>)</w:t>
      </w:r>
      <w:r>
        <w:t xml:space="preserve"> It is</w:t>
      </w:r>
      <w:r w:rsidR="00B357BC">
        <w:t xml:space="preserve"> </w:t>
      </w:r>
      <w:r>
        <w:t>important to remember that the same tension w</w:t>
      </w:r>
      <w:r w:rsidR="005053B8">
        <w:t>hi</w:t>
      </w:r>
      <w:r>
        <w:t>ch creates the problem of church</w:t>
      </w:r>
    </w:p>
    <w:p w:rsidR="001D4C0F" w:rsidRDefault="009656CF" w:rsidP="001D1114">
      <w:pPr>
        <w:tabs>
          <w:tab w:val="left" w:pos="720"/>
        </w:tabs>
        <w:spacing w:line="480" w:lineRule="auto"/>
        <w:contextualSpacing/>
      </w:pPr>
      <w:r>
        <w:t>state relationship</w:t>
      </w:r>
      <w:r w:rsidR="005053B8">
        <w:t xml:space="preserve"> </w:t>
      </w:r>
      <w:r>
        <w:t>is ultimately the st</w:t>
      </w:r>
      <w:r w:rsidR="005053B8">
        <w:t>a</w:t>
      </w:r>
      <w:r>
        <w:t>te of affairs that will bring the answer.</w:t>
      </w:r>
    </w:p>
    <w:p w:rsidR="00C20FEC" w:rsidRDefault="00C20FEC" w:rsidP="001D1114">
      <w:pPr>
        <w:tabs>
          <w:tab w:val="left" w:pos="720"/>
        </w:tabs>
        <w:spacing w:line="480" w:lineRule="auto"/>
        <w:contextualSpacing/>
      </w:pPr>
      <w:r>
        <w:t>As Brunner points out,</w:t>
      </w:r>
    </w:p>
    <w:p w:rsidR="00C20FEC" w:rsidRDefault="00C20FEC" w:rsidP="001D1114">
      <w:pPr>
        <w:tabs>
          <w:tab w:val="left" w:pos="720"/>
        </w:tabs>
        <w:spacing w:line="240" w:lineRule="auto"/>
        <w:ind w:left="720"/>
        <w:contextualSpacing/>
      </w:pPr>
      <w:r>
        <w:t xml:space="preserve">“One and the same man who, as a Christian, has become a citizen of the other heavenly kingdom, and holds his </w:t>
      </w:r>
      <w:r w:rsidRPr="00C20FEC">
        <w:rPr>
          <w:bCs/>
        </w:rPr>
        <w:t>politeuma</w:t>
      </w:r>
      <w:r>
        <w:t>, his citizenship, in Heaven, belongs nevertheless, as cives romanus or eidgenosse, to an earthly state</w:t>
      </w:r>
      <w:r w:rsidR="00004FBC">
        <w:t xml:space="preserve"> and hence is subject not only to the heavenly law of forgiving, but also to the earthly law of even-handed justice.”</w:t>
      </w:r>
      <w:r w:rsidR="00004FBC">
        <w:rPr>
          <w:rStyle w:val="FootnoteReference"/>
        </w:rPr>
        <w:footnoteReference w:id="238"/>
      </w:r>
    </w:p>
    <w:p w:rsidR="00004FBC" w:rsidRDefault="00004FBC" w:rsidP="001D1114">
      <w:pPr>
        <w:tabs>
          <w:tab w:val="left" w:pos="720"/>
        </w:tabs>
        <w:spacing w:line="240" w:lineRule="auto"/>
        <w:ind w:left="720"/>
        <w:contextualSpacing/>
      </w:pPr>
    </w:p>
    <w:p w:rsidR="00004FBC" w:rsidRDefault="00004FBC" w:rsidP="001D1114">
      <w:pPr>
        <w:tabs>
          <w:tab w:val="left" w:pos="720"/>
        </w:tabs>
        <w:spacing w:line="480" w:lineRule="auto"/>
        <w:contextualSpacing/>
      </w:pPr>
      <w:r>
        <w:t xml:space="preserve">Precisely because he is a member of the heavenly kingdom we may expect him to come up with the answer to the church state relationship in our age. Because he can practice love as well as justice we may expect him to maintain the tension at the proper severity so that the Lordship of Christ over both may be recognized, while at the same time the one is not subsumed by the other. The ability of the church to maintain her witness under </w:t>
      </w:r>
      <w:r>
        <w:lastRenderedPageBreak/>
        <w:t>such difficult conditions as the “Iron Curtain” imposes, and the recent “Declaration of Faith concerning Church and Nation” of the Presbyterian Church of Canada are certainly indications that this problem is being actively solved on all hands.</w:t>
      </w:r>
    </w:p>
    <w:p w:rsidR="00004FBC" w:rsidRDefault="00004FBC" w:rsidP="001D1114">
      <w:pPr>
        <w:tabs>
          <w:tab w:val="left" w:pos="720"/>
        </w:tabs>
        <w:spacing w:line="480" w:lineRule="auto"/>
        <w:contextualSpacing/>
      </w:pPr>
      <w:r>
        <w:tab/>
        <w:t>One could wish that such a st</w:t>
      </w:r>
      <w:r w:rsidR="000D53F4">
        <w:t>udy as this could end with a setting forth of definitive principles for the guidance of Church-State relationships, but obviously this is not possible.</w:t>
      </w:r>
      <w:r>
        <w:t xml:space="preserve"> </w:t>
      </w:r>
      <w:r w:rsidR="000D53F4">
        <w:t>What we have seen, and what gives us confidence, is the fact that in all the struggle and interaction between church and state, history stands as the ultimate arbiter between the two. A perfect and eternal balance is not possible. To be safe there must always be a movement between the opposite poles of Church and State. Back and forth the tides of the struggle between the two have moved, first the State, then the Church being dominant, and the Lord of History stands as director of this movement. It is in this movement that the gospel goes forth, it is by this movement that Christ exerts his Lordship over both institutions.</w:t>
      </w:r>
    </w:p>
    <w:p w:rsidR="008D7052" w:rsidRDefault="008D7052" w:rsidP="001D1114">
      <w:pPr>
        <w:contextualSpacing/>
      </w:pPr>
      <w:r>
        <w:br w:type="page"/>
      </w:r>
    </w:p>
    <w:p w:rsidR="008D7052" w:rsidRDefault="008D7052" w:rsidP="001D1114">
      <w:pPr>
        <w:tabs>
          <w:tab w:val="left" w:pos="720"/>
        </w:tabs>
        <w:spacing w:line="480" w:lineRule="auto"/>
        <w:contextualSpacing/>
        <w:jc w:val="center"/>
        <w:rPr>
          <w:b/>
          <w:u w:val="single"/>
        </w:rPr>
      </w:pPr>
      <w:r w:rsidRPr="008D7052">
        <w:rPr>
          <w:b/>
          <w:u w:val="single"/>
        </w:rPr>
        <w:lastRenderedPageBreak/>
        <w:t>Bibliography</w:t>
      </w:r>
    </w:p>
    <w:p w:rsidR="00E11882" w:rsidRDefault="001947BA" w:rsidP="001D1114">
      <w:pPr>
        <w:tabs>
          <w:tab w:val="left" w:pos="720"/>
        </w:tabs>
        <w:spacing w:line="480" w:lineRule="auto"/>
        <w:contextualSpacing/>
        <w:jc w:val="center"/>
      </w:pPr>
      <w:r>
        <w:t>(Appendix A only)</w:t>
      </w:r>
    </w:p>
    <w:p w:rsidR="008C6537" w:rsidRPr="00E11882" w:rsidRDefault="008C6537" w:rsidP="001D1114">
      <w:pPr>
        <w:tabs>
          <w:tab w:val="left" w:pos="720"/>
        </w:tabs>
        <w:spacing w:line="480" w:lineRule="auto"/>
        <w:contextualSpacing/>
        <w:jc w:val="center"/>
      </w:pPr>
      <w:r>
        <w:t>(as originally presented)</w:t>
      </w:r>
    </w:p>
    <w:p w:rsidR="008D7052" w:rsidRDefault="008D7052" w:rsidP="001D1114">
      <w:pPr>
        <w:tabs>
          <w:tab w:val="left" w:pos="720"/>
        </w:tabs>
        <w:spacing w:line="480" w:lineRule="auto"/>
        <w:contextualSpacing/>
      </w:pPr>
    </w:p>
    <w:p w:rsidR="008D7052" w:rsidRDefault="008D7052" w:rsidP="001D1114">
      <w:pPr>
        <w:tabs>
          <w:tab w:val="left" w:pos="720"/>
        </w:tabs>
        <w:spacing w:line="480" w:lineRule="auto"/>
        <w:ind w:left="720" w:hanging="720"/>
        <w:contextualSpacing/>
      </w:pPr>
      <w:r>
        <w:t xml:space="preserve">Bainton, Roland H. </w:t>
      </w:r>
      <w:r w:rsidRPr="008D7052">
        <w:rPr>
          <w:i/>
        </w:rPr>
        <w:t>The Reformation of the Sixteenth Century</w:t>
      </w:r>
      <w:r>
        <w:rPr>
          <w:i/>
        </w:rPr>
        <w:t>.</w:t>
      </w:r>
      <w:r>
        <w:t xml:space="preserve"> </w:t>
      </w:r>
      <w:r w:rsidRPr="008D7052">
        <w:t>Boston</w:t>
      </w:r>
      <w:r>
        <w:t>: The Beacon Press l952.</w:t>
      </w:r>
    </w:p>
    <w:p w:rsidR="008D7052" w:rsidRDefault="008D7052" w:rsidP="001D1114">
      <w:pPr>
        <w:tabs>
          <w:tab w:val="left" w:pos="720"/>
        </w:tabs>
        <w:spacing w:line="480" w:lineRule="auto"/>
        <w:ind w:left="720" w:hanging="720"/>
        <w:contextualSpacing/>
      </w:pPr>
      <w:r>
        <w:t xml:space="preserve">Bruner, Emil. </w:t>
      </w:r>
      <w:r w:rsidRPr="008D7052">
        <w:rPr>
          <w:i/>
        </w:rPr>
        <w:t>Justice and the Social Order</w:t>
      </w:r>
      <w:r>
        <w:rPr>
          <w:i/>
        </w:rPr>
        <w:t>.</w:t>
      </w:r>
      <w:r>
        <w:t xml:space="preserve">  Tr. Hottinger. </w:t>
      </w:r>
      <w:r w:rsidRPr="008D7052">
        <w:t>New York</w:t>
      </w:r>
      <w:r>
        <w:t xml:space="preserve">: Harper Brothers, 1915 </w:t>
      </w:r>
    </w:p>
    <w:p w:rsidR="008D7052" w:rsidRDefault="008D7052" w:rsidP="001D1114">
      <w:pPr>
        <w:tabs>
          <w:tab w:val="left" w:pos="720"/>
        </w:tabs>
        <w:spacing w:line="480" w:lineRule="auto"/>
        <w:ind w:left="720" w:hanging="720"/>
        <w:contextualSpacing/>
      </w:pPr>
      <w:r>
        <w:t xml:space="preserve">Calvin, John. </w:t>
      </w:r>
      <w:r w:rsidRPr="008D7052">
        <w:rPr>
          <w:i/>
        </w:rPr>
        <w:t>Institutes of the Christian Religion</w:t>
      </w:r>
      <w:r>
        <w:t>. Tr. Allen. Philadelphia: Presbyterian Board of Christian Education. Vol II</w:t>
      </w:r>
    </w:p>
    <w:p w:rsidR="005053B8" w:rsidRDefault="008D7052" w:rsidP="001D1114">
      <w:pPr>
        <w:tabs>
          <w:tab w:val="left" w:pos="720"/>
        </w:tabs>
        <w:spacing w:line="480" w:lineRule="auto"/>
        <w:ind w:left="720" w:hanging="720"/>
        <w:contextualSpacing/>
      </w:pPr>
      <w:r>
        <w:t xml:space="preserve">Whale, J. S. </w:t>
      </w:r>
      <w:r w:rsidRPr="008D7052">
        <w:rPr>
          <w:i/>
        </w:rPr>
        <w:t>The Protestant Tradition</w:t>
      </w:r>
      <w:r>
        <w:rPr>
          <w:i/>
        </w:rPr>
        <w:t>.</w:t>
      </w:r>
      <w:r>
        <w:t xml:space="preserve"> Cambridge: Cambridge University Press, 1955</w:t>
      </w:r>
    </w:p>
    <w:p w:rsidR="002C2E9E" w:rsidRDefault="002C2E9E">
      <w:pPr>
        <w:sectPr w:rsidR="002C2E9E" w:rsidSect="00AC21EF">
          <w:footnotePr>
            <w:numRestart w:val="eachSect"/>
          </w:footnotePr>
          <w:pgSz w:w="12240" w:h="15840"/>
          <w:pgMar w:top="1440" w:right="1440" w:bottom="1440" w:left="2160" w:header="720" w:footer="720" w:gutter="0"/>
          <w:cols w:space="720"/>
          <w:docGrid w:linePitch="360"/>
        </w:sectPr>
      </w:pPr>
    </w:p>
    <w:p w:rsidR="00AF6A96" w:rsidRPr="002C2E9E" w:rsidRDefault="00AF6A96" w:rsidP="002C2E9E">
      <w:pPr>
        <w:jc w:val="center"/>
      </w:pPr>
      <w:r w:rsidRPr="00AF6A96">
        <w:rPr>
          <w:b/>
          <w:u w:val="single"/>
        </w:rPr>
        <w:lastRenderedPageBreak/>
        <w:t>APPENDIX B</w:t>
      </w:r>
    </w:p>
    <w:p w:rsidR="00AF6A96" w:rsidRPr="00AF6A96" w:rsidRDefault="00AF6A96" w:rsidP="00AF6A96">
      <w:pPr>
        <w:tabs>
          <w:tab w:val="left" w:pos="720"/>
        </w:tabs>
        <w:spacing w:line="480" w:lineRule="auto"/>
        <w:ind w:left="720" w:hanging="720"/>
        <w:contextualSpacing/>
        <w:jc w:val="center"/>
        <w:rPr>
          <w:b/>
          <w:u w:val="single"/>
        </w:rPr>
      </w:pPr>
    </w:p>
    <w:p w:rsidR="001838E4" w:rsidRPr="009A494A" w:rsidRDefault="001838E4" w:rsidP="00846AB0">
      <w:pPr>
        <w:tabs>
          <w:tab w:val="left" w:pos="720"/>
        </w:tabs>
        <w:spacing w:line="480" w:lineRule="auto"/>
        <w:contextualSpacing/>
      </w:pPr>
      <w:r w:rsidRPr="001838E4">
        <w:t>MEMORIAL AND REMONSTRANCE AGAINST RELIGIOUS ASSESSMENTS.</w:t>
      </w:r>
      <w:r w:rsidR="009A494A" w:rsidRPr="009A494A">
        <w:rPr>
          <w:vertAlign w:val="superscript"/>
        </w:rPr>
        <w:footnoteReference w:id="239"/>
      </w:r>
    </w:p>
    <w:p w:rsidR="001838E4" w:rsidRPr="001838E4" w:rsidRDefault="001838E4" w:rsidP="00846AB0">
      <w:pPr>
        <w:tabs>
          <w:tab w:val="left" w:pos="720"/>
        </w:tabs>
        <w:spacing w:line="480" w:lineRule="auto"/>
        <w:contextualSpacing/>
      </w:pPr>
      <w:r w:rsidRPr="001838E4">
        <w:t xml:space="preserve">To the Honorable the General Assembly </w:t>
      </w:r>
      <w:r w:rsidRPr="001838E4">
        <w:br/>
        <w:t xml:space="preserve">of </w:t>
      </w:r>
      <w:r w:rsidRPr="001838E4">
        <w:br/>
        <w:t xml:space="preserve">the Commonwealth of Virginia. </w:t>
      </w:r>
      <w:r w:rsidRPr="001838E4">
        <w:br/>
        <w:t>A Memorial and Remonstrance.</w:t>
      </w:r>
    </w:p>
    <w:p w:rsidR="001838E4" w:rsidRPr="001838E4" w:rsidRDefault="001838E4" w:rsidP="00846AB0">
      <w:pPr>
        <w:tabs>
          <w:tab w:val="left" w:pos="720"/>
        </w:tabs>
        <w:spacing w:line="480" w:lineRule="auto"/>
        <w:contextualSpacing/>
      </w:pPr>
      <w:r w:rsidRPr="001838E4">
        <w:t>We, the subscribers, citizens of the said Commonwealth, having taken into serious consideration, a Bill printed by order of the last Session of General Assembly, entitled “A Bill establishing a provision for Teachers of the Christian Religion,” and conceiving [184] that the same, if finally armed with the sanctions of a law, will be a dangerous abuse of power, are bound as faithful members of a free State, to remonstrate against it, and to declare the reasons by which we are determined. We remonstrate against the said Bill,</w:t>
      </w:r>
    </w:p>
    <w:p w:rsidR="001838E4" w:rsidRPr="001838E4" w:rsidRDefault="001838E4" w:rsidP="00846AB0">
      <w:pPr>
        <w:tabs>
          <w:tab w:val="left" w:pos="720"/>
        </w:tabs>
        <w:spacing w:line="480" w:lineRule="auto"/>
        <w:contextualSpacing/>
      </w:pPr>
      <w:r w:rsidRPr="001838E4">
        <w:t>1. Because we hold it for a fundamental and undeniable truth, “that Religion or the duty which we owe to our Creator and the Manner of discharging it, can be directed only by reason and conviction, not by force or violence.”</w:t>
      </w:r>
      <w:hyperlink r:id="rId29" w:anchor="lf1356-02_footnote_nt_045" w:history="1">
        <w:r w:rsidRPr="001838E4">
          <w:rPr>
            <w:rStyle w:val="Hyperlink"/>
          </w:rPr>
          <w:t>1</w:t>
        </w:r>
      </w:hyperlink>
      <w:r w:rsidRPr="001838E4">
        <w:t xml:space="preserve"> The Religion then of every man must be left to the conviction and conscience of every man; and it is the right of every man to exercise it as these may dictate. This right is in its nature an unalienable right. It is unalienable; because the opinions of men, depending only on the evidence contemplated by their own minds, cannot follow the dictates of other men: It is unalienable also; because what is here a right towards men, is a duty towards the Creator. It is the duty of </w:t>
      </w:r>
      <w:r w:rsidRPr="001838E4">
        <w:lastRenderedPageBreak/>
        <w:t>every man to render to the Creator such homage, and such only, as he believes to be acceptable to him. This duty is precedent both in order of time and degree of obligation, to the claims [185] of Civil Society. Before any man can be considered as a member of Civil Society, he must be considered as a subject of the Governor of the Universe: And if a member of Civil Society, who enters into any subordinate Association, must always do it with a reservation of his duty to the general authority; much more must every man who becomes a member of any particular Civil Society, do it with a saving of his allegiance to the Universal Sovereign. We maintain therefore that in matters of Religion, no man’s right is abridged by the institution of Civil Society, and that Religion is wholly exempt from its cognizance. True it is, that no other rule exists, by which any question which may divide a Society, can be ultimately determined, but the will of the majority; but it is also true, that the majority may trespass on the rights of the minority.</w:t>
      </w:r>
    </w:p>
    <w:p w:rsidR="001838E4" w:rsidRPr="001838E4" w:rsidRDefault="001838E4" w:rsidP="00846AB0">
      <w:pPr>
        <w:tabs>
          <w:tab w:val="left" w:pos="720"/>
        </w:tabs>
        <w:spacing w:line="480" w:lineRule="auto"/>
        <w:contextualSpacing/>
      </w:pPr>
      <w:r w:rsidRPr="001838E4">
        <w:t>2. Because if religion be exempt from the authority of the Society at large, still less can it be subject to that of the Legislative Body. The latter are but the creatures and vicegerents of the former. Their jurisdiction is both derivative and limited: it is limited with regard to the co-ordinate departments, more necessarily is it limited with regard to the constituents. The preservation of a free government requires not merely, that the metes and bounds which separate each department of power may be invariably maintained; but more especially, that neither of them be suffered to overleap the great Barrier which defends the rights of the people. The Rulers who are guilty of such an encroachment, exceed the commission from which they derive their authority, and are Tyrants. The People who submit to it are governed by laws made neither by themselves, nor by an authority derived from them, and are slaves.</w:t>
      </w:r>
    </w:p>
    <w:p w:rsidR="001838E4" w:rsidRPr="001838E4" w:rsidRDefault="001838E4" w:rsidP="00846AB0">
      <w:pPr>
        <w:tabs>
          <w:tab w:val="left" w:pos="720"/>
        </w:tabs>
        <w:spacing w:line="480" w:lineRule="auto"/>
        <w:contextualSpacing/>
      </w:pPr>
      <w:r w:rsidRPr="001838E4">
        <w:lastRenderedPageBreak/>
        <w:t>3. Because, it is proper to take alarm at the first experiment on our liberties. We hold this prudent jealousy to be the first duty of citizens, and one of [the] noblest characteristics of the late Revolution. The freemen of America did not wait till usurped power had strengthened itself by exercise, and entangled the question in precedents. They saw all the consequences in the principle, and they avoided the consequences by denying the [186] principle. We revere this lesson too much, soon to forget it. Who does not see that the same authority which can establish Christianity, in exclusion of all other Religions, may establish with the same ease any particular sect of Christians, in exclusion of all other Sects? That the same authority which can force a citizen to contribute three pence only of his property for the support of any one establishment, may force him to conform to any other establishment in all cases whatsoever?</w:t>
      </w:r>
    </w:p>
    <w:p w:rsidR="001838E4" w:rsidRPr="001838E4" w:rsidRDefault="001838E4" w:rsidP="00846AB0">
      <w:pPr>
        <w:tabs>
          <w:tab w:val="left" w:pos="720"/>
        </w:tabs>
        <w:spacing w:line="480" w:lineRule="auto"/>
        <w:contextualSpacing/>
      </w:pPr>
      <w:r w:rsidRPr="001838E4">
        <w:t>4. Because, the bill violates that equality which ought to be the basis of every law, and which is more indispensible, in proportion as the validity or expediency of any law is more liable to be impeached. If “all men are by nature equally free and independent,”</w:t>
      </w:r>
      <w:hyperlink r:id="rId30" w:anchor="lf1356-02_footnote_nt_046" w:history="1">
        <w:r w:rsidRPr="001838E4">
          <w:rPr>
            <w:rStyle w:val="Hyperlink"/>
          </w:rPr>
          <w:t>1</w:t>
        </w:r>
      </w:hyperlink>
      <w:r w:rsidRPr="001838E4">
        <w:t xml:space="preserve"> all men are to be considered as entering into Society on equal conditions; as relinquishing no more, and therefore retaining no less, one than another, of their natural rights. Above all are they to be considered as retaining an “</w:t>
      </w:r>
      <w:r w:rsidRPr="001838E4">
        <w:rPr>
          <w:i/>
          <w:iCs/>
        </w:rPr>
        <w:t>equal</w:t>
      </w:r>
      <w:r w:rsidRPr="001838E4">
        <w:t xml:space="preserve"> title to the free exercise of Religion according to the dictates of conscience.”</w:t>
      </w:r>
      <w:hyperlink r:id="rId31" w:anchor="lf1356-02_footnote_nt_047" w:history="1">
        <w:r w:rsidRPr="001838E4">
          <w:rPr>
            <w:rStyle w:val="Hyperlink"/>
          </w:rPr>
          <w:t>2</w:t>
        </w:r>
      </w:hyperlink>
      <w:r w:rsidRPr="001838E4">
        <w:t xml:space="preserve"> Whilst we assert for ourselves a freedom to embrace, to profess and to observe the Religion which we believe to be of divine origin, we cannot deny an equal freedom to those whose minds have not yet yielded to the evidence which has convinced us. If this freedom be abused, it is an offence against God, not against man: To God, therefore, not to men, must an account of it be rendered. As the Bill violates equality by subjecting some to peculiar burdens; so it violates the same </w:t>
      </w:r>
      <w:r w:rsidRPr="001838E4">
        <w:lastRenderedPageBreak/>
        <w:t>principle, by granting to others peculiar exemptions. Are the Quakers and Menonists the only sects who think a compulsive support of their religions unnecessary and unwarantable? Can their piety alone be intrusted with the care of public worship? Ought their Religions to be endowed above all others, with extraordinary privileges, by which proselytes may be enticed from all others? We think too favorably of the justice and good sense of these denominations, to believe that they either covet pre-eminencies over their fellow citizens, or that they will be seduced by them, from the common opposition to the measure.</w:t>
      </w:r>
    </w:p>
    <w:p w:rsidR="001838E4" w:rsidRPr="001838E4" w:rsidRDefault="001838E4" w:rsidP="00846AB0">
      <w:pPr>
        <w:tabs>
          <w:tab w:val="left" w:pos="720"/>
        </w:tabs>
        <w:spacing w:line="480" w:lineRule="auto"/>
        <w:contextualSpacing/>
      </w:pPr>
      <w:r w:rsidRPr="001838E4">
        <w:t xml:space="preserve">[187] </w:t>
      </w:r>
    </w:p>
    <w:p w:rsidR="001838E4" w:rsidRPr="001838E4" w:rsidRDefault="001838E4" w:rsidP="00846AB0">
      <w:pPr>
        <w:tabs>
          <w:tab w:val="left" w:pos="720"/>
        </w:tabs>
        <w:spacing w:line="480" w:lineRule="auto"/>
        <w:contextualSpacing/>
      </w:pPr>
      <w:r w:rsidRPr="001838E4">
        <w:t>5. Because the bill implies either that the Civil Magistrate is a competent Judge of Religious truth; or that he may employ Religion as an engine of Civil policy. The first is an arrogant pretension falsified by the contradictory opinions of Rulers in all ages, and throughout the world: The second an unhallowed perversion of the means of salvation.</w:t>
      </w:r>
    </w:p>
    <w:p w:rsidR="001838E4" w:rsidRPr="001838E4" w:rsidRDefault="001838E4" w:rsidP="00846AB0">
      <w:pPr>
        <w:tabs>
          <w:tab w:val="left" w:pos="720"/>
        </w:tabs>
        <w:spacing w:line="480" w:lineRule="auto"/>
        <w:contextualSpacing/>
      </w:pPr>
      <w:r w:rsidRPr="001838E4">
        <w:t xml:space="preserve">6. Because the establishment proposed by the Bill is not requisite for the support of the Christian Religion. To say that it is, is a contradiction to the Christian Religion itself; for every page of it disavows a dependence on the powers of this world: it is a contradiction to fact; for it is known that this Religion both existed and flourished, not only without the support of human laws, but in spite of every opposition from them; and not only during the period of miraculous aid, but long after it had been left to its own evidence, and the ordinary care of Providence: Nay, it is a contradiction in terms; for a Religion not invented by human policy, must have pre-existed and been supported, before it was established by human policy. It is moreover to weaken in those who profess this Religion a pious confidence in its innate excellence, and the patronage of its Author; and to foster </w:t>
      </w:r>
      <w:r w:rsidRPr="001838E4">
        <w:lastRenderedPageBreak/>
        <w:t>in those who still reject it, a suspicion that its friends are too conscious of its fallacies, to trust it to its own merits.</w:t>
      </w:r>
    </w:p>
    <w:p w:rsidR="001838E4" w:rsidRPr="001838E4" w:rsidRDefault="001838E4" w:rsidP="00846AB0">
      <w:pPr>
        <w:tabs>
          <w:tab w:val="left" w:pos="720"/>
        </w:tabs>
        <w:spacing w:line="480" w:lineRule="auto"/>
        <w:contextualSpacing/>
      </w:pPr>
      <w:r w:rsidRPr="001838E4">
        <w:t>7. Because experience witnesseth that ecclesiastical establishments, instead of maintaining the purity and efficacy of Religion, have had a contrary operation. During almost fifteen centuries, has the legal establishment of Christianity been on trial. What have been its fruits? More or less in all places, pride and indolence in the Clergy; ignorance and servility in the laity; in both, superstition, bigotry and persecution. Enquire of the Teachers of Christianity for the ages in which it appeared in its greatest lustre; those of every sect, point to the ages prior to its incorporation with Civil policy. Propose a restoration of this primitive state in which its Teachers depended on the voluntary rewards of their flocks; many of them predict its downfall. On which side ought their testimony to have greatest weight, when for or when against their interest?</w:t>
      </w:r>
    </w:p>
    <w:p w:rsidR="001838E4" w:rsidRPr="001838E4" w:rsidRDefault="001838E4" w:rsidP="00846AB0">
      <w:pPr>
        <w:tabs>
          <w:tab w:val="left" w:pos="720"/>
        </w:tabs>
        <w:spacing w:line="480" w:lineRule="auto"/>
        <w:contextualSpacing/>
      </w:pPr>
      <w:r w:rsidRPr="001838E4">
        <w:t xml:space="preserve">[188] </w:t>
      </w:r>
    </w:p>
    <w:p w:rsidR="001838E4" w:rsidRPr="001838E4" w:rsidRDefault="001838E4" w:rsidP="00846AB0">
      <w:pPr>
        <w:tabs>
          <w:tab w:val="left" w:pos="720"/>
        </w:tabs>
        <w:spacing w:line="480" w:lineRule="auto"/>
        <w:contextualSpacing/>
      </w:pPr>
      <w:r w:rsidRPr="001838E4">
        <w:t xml:space="preserve">8. Because the establishment in question is not necessary for the support of Civil Government. If it be urged as necessary for the support of Civil Government only as it is a means of supporting Religion, and it be not necessary for the latter purpose, it cannot be necessary for the former. If Religion be not within [the] cognizance of Civil Government, how can its legal establishment be said to be necessary to civil Government? What influence in fact have ecclesiastical establishments had on Civil Society? In some </w:t>
      </w:r>
      <w:r w:rsidR="00C061B2" w:rsidRPr="001838E4">
        <w:t>instances,</w:t>
      </w:r>
      <w:r w:rsidRPr="001838E4">
        <w:t xml:space="preserve"> they have been seen to erect a spiritual tyranny on the ruins of Civil authority; in many instances they have been seen upholding the thrones of political tyranny; in no instance have they been seen the guardians of the liberties of the people. Rulers who wished to subvert the public liberty, may have found an established clergy convenient </w:t>
      </w:r>
      <w:r w:rsidRPr="001838E4">
        <w:lastRenderedPageBreak/>
        <w:t>auxiliaries. A just government, instituted to secure &amp; perpetuate it, needs them not. Such a government will be best supported by protecting every citizen in the enjoyment of his Religion with the same equal hand which protects his person and his property; by neither invading the equal rights of any Sect, nor suffering any Sect to invade those of another.</w:t>
      </w:r>
    </w:p>
    <w:p w:rsidR="001838E4" w:rsidRPr="001838E4" w:rsidRDefault="001838E4" w:rsidP="00846AB0">
      <w:pPr>
        <w:tabs>
          <w:tab w:val="left" w:pos="720"/>
        </w:tabs>
        <w:spacing w:line="480" w:lineRule="auto"/>
        <w:contextualSpacing/>
      </w:pPr>
      <w:r w:rsidRPr="001838E4">
        <w:t xml:space="preserve">9. Because the proposed establishment is a departure from that generous policy, which, offering an asylum to the persecuted and oppressed of every Nation and Religion, promised a </w:t>
      </w:r>
      <w:r w:rsidR="00C061B2" w:rsidRPr="001838E4">
        <w:t>luster</w:t>
      </w:r>
      <w:r w:rsidRPr="001838E4">
        <w:t xml:space="preserve"> to our country, and an accession to the number of its citizens. What a melancholy mark is the Bill of sudden degeneracy? Instead of holding forth an asylum to the persecuted, it is itself a signal of persecution. It degrades from the equal rank of Citizens all those whose opinions in Religion do not bend to those of the Legislative authority. Distant as it may be, in its present form, from the Inquisition it differs from it only in degree. The one is the first step, the other the last in the career of intolerance. The magnanimous sufferer under this cruel scourge in foreign Regions, must view the Bill as a Beacon on our Coast, warning him to seek some other haven, where liberty and philanthrophy in their due extent may offer a more certain repose from his troubles.</w:t>
      </w:r>
    </w:p>
    <w:p w:rsidR="001838E4" w:rsidRPr="001838E4" w:rsidRDefault="001838E4" w:rsidP="00846AB0">
      <w:pPr>
        <w:tabs>
          <w:tab w:val="left" w:pos="720"/>
        </w:tabs>
        <w:spacing w:line="480" w:lineRule="auto"/>
        <w:contextualSpacing/>
      </w:pPr>
      <w:r w:rsidRPr="001838E4">
        <w:t>10. Because, it will have a like tendency to banish our Citizens. The allurements presented by other situations are [189] every day thinning their number. To superadd a fresh motive to emigration, by revoking the liberty which they now enjoy, would be the same species of folly which has dishonoured and depopulated flourishing kingdoms.</w:t>
      </w:r>
    </w:p>
    <w:p w:rsidR="001838E4" w:rsidRPr="001838E4" w:rsidRDefault="001838E4" w:rsidP="00846AB0">
      <w:pPr>
        <w:tabs>
          <w:tab w:val="left" w:pos="720"/>
        </w:tabs>
        <w:spacing w:line="480" w:lineRule="auto"/>
        <w:contextualSpacing/>
      </w:pPr>
      <w:r w:rsidRPr="001838E4">
        <w:t xml:space="preserve">11. Because, it will destroy that moderation and harmony which the forbearance of our laws to intermeddle with Religion, has produced amongst its several sects. Torrents of blood have been spilt in the old world, by vain attempts of the secular arm to extinguish Religious discord, by proscribing all difference in Religious opinions. Time has at length </w:t>
      </w:r>
      <w:r w:rsidRPr="001838E4">
        <w:lastRenderedPageBreak/>
        <w:t>revealed the true remedy. Every relaxation of narrow and rigorous policy, wherever it has been tried, has been found to assuage the disease. The American Theatre has exhibited proofs, that equal and compleat liberty, if it does not wholly eradicate it, sufficiently destroys its malignant influence on the health and prosperity of the State. If with the salutary effects of this system under our own eyes, we begin to contract the bonds of Religious freedom, we know no name that will too severely reproach our folly. At least let warning be taken at the first fruits of the threatened innovation. The very appearance of the Bill has transformed that “Christian forbearance,</w:t>
      </w:r>
      <w:hyperlink r:id="rId32" w:anchor="lf1356-02_footnote_nt_048" w:history="1">
        <w:r w:rsidRPr="001838E4">
          <w:rPr>
            <w:rStyle w:val="Hyperlink"/>
          </w:rPr>
          <w:t>1</w:t>
        </w:r>
      </w:hyperlink>
      <w:r w:rsidRPr="001838E4">
        <w:t xml:space="preserve"> love and charity,” which of late mutually prevailed, into animosities and jealousies, which may not soon be appeased. What mischiefs may not be dreaded should this enemy to the public quiet be armed with the force of a law?</w:t>
      </w:r>
    </w:p>
    <w:p w:rsidR="001838E4" w:rsidRPr="001838E4" w:rsidRDefault="001838E4" w:rsidP="00846AB0">
      <w:pPr>
        <w:tabs>
          <w:tab w:val="left" w:pos="720"/>
        </w:tabs>
        <w:spacing w:line="480" w:lineRule="auto"/>
        <w:contextualSpacing/>
      </w:pPr>
      <w:r w:rsidRPr="001838E4">
        <w:t>12. Because, the policy of the bill is adverse to the diffusion of the light of Christianity. The first wish of those who enjoy this precious gift, ought to be that it may be imparted to the whole race of mankind. Compare the number of those who have as yet received it with the number still remaining under the dominion of false Religions; and how small is the former! Does the policy of the Bill tend to lessen the disproportion? No; it at once discourages those who are strangers to the light of [revelation] from coming into the Region of it; and countenances, by example the nations who continue in darkness, in shutting out those who might convey it to them. Instead of [190] levelling as far as possible, every obstacle to the victorious progress of truth, the Bill with an ignoble and unchristian timidity would circumscribe it, with a wall of defence, against the encroachments of error.</w:t>
      </w:r>
    </w:p>
    <w:p w:rsidR="001838E4" w:rsidRPr="001838E4" w:rsidRDefault="001838E4" w:rsidP="00846AB0">
      <w:pPr>
        <w:tabs>
          <w:tab w:val="left" w:pos="720"/>
        </w:tabs>
        <w:spacing w:line="480" w:lineRule="auto"/>
        <w:contextualSpacing/>
      </w:pPr>
      <w:r w:rsidRPr="001838E4">
        <w:lastRenderedPageBreak/>
        <w:t>13. Because attempts to enforce by legal sanctions, acts obnoxious to so great a proportion of Citizens, tend to enervate the laws in general, and to slacken the bands of Society. If it be difficult to execute any law which is not generally deemed necessary or salutary, what must be the case where it is deemed invalid and dangerous? and what may be the effect of so striking an example of impotency in the Government, on its general authority.</w:t>
      </w:r>
    </w:p>
    <w:p w:rsidR="001838E4" w:rsidRPr="001838E4" w:rsidRDefault="001838E4" w:rsidP="00846AB0">
      <w:pPr>
        <w:tabs>
          <w:tab w:val="left" w:pos="720"/>
        </w:tabs>
        <w:spacing w:line="480" w:lineRule="auto"/>
        <w:contextualSpacing/>
      </w:pPr>
      <w:r w:rsidRPr="001838E4">
        <w:t>14. Because a measure of such singular magnitude and delicacy ought not to be imposed, without the clearest evidence that it is called for by a majority of citizens: and no satisfactory method is yet proposed by which the voice of the majority in this case may be determined, or its influence secured. “The people of the respective counties are indeed requested to signify their opinion respecting the adoption of the Bill to the next Session of Assembly.” But the representation must be made equal, before the voice either of the Representatives or of the Counties, will be that of the people. Our hope is that neither of the former will, after due consideration, espouse the dangerous principle of the Bill. Should the event disappoint us, it will still leave us in full confidence, that a fair appeal to the latter will reverse the sentence against our liberties.</w:t>
      </w:r>
    </w:p>
    <w:p w:rsidR="001838E4" w:rsidRDefault="001838E4" w:rsidP="00846AB0">
      <w:pPr>
        <w:tabs>
          <w:tab w:val="left" w:pos="720"/>
        </w:tabs>
        <w:spacing w:line="480" w:lineRule="auto"/>
        <w:contextualSpacing/>
      </w:pPr>
      <w:r w:rsidRPr="001838E4">
        <w:t>15. Because, finally, “the equal right of every citizen to the free exercise of his Religion according to the dictates of conscience” is held by the same tenure with all our other rights. If we recur to its origin, it is equally the gift of nature; if we weigh its importance, it cannot be less dear to us; if we consult the Declaration of those rights which pertain to the good people of Virginia, as the “basis and foundation of Government,”</w:t>
      </w:r>
      <w:hyperlink r:id="rId33" w:anchor="lf1356-02_footnote_nt_049" w:history="1">
        <w:r w:rsidRPr="001838E4">
          <w:rPr>
            <w:rStyle w:val="Hyperlink"/>
          </w:rPr>
          <w:t>1</w:t>
        </w:r>
      </w:hyperlink>
      <w:r w:rsidRPr="001838E4">
        <w:t xml:space="preserve"> it is enumerated with equal solemnity, or rather studied emphasis. Either then, we must say, that the will of the Legislature is the only measure of their authority; and that in the </w:t>
      </w:r>
      <w:r w:rsidRPr="001838E4">
        <w:lastRenderedPageBreak/>
        <w:t xml:space="preserve">plenitude of this [191] authority, they may sweep away all our fundamental rights; or, that they are bound to leave this particular right untouched and sacred: Either we must say, that they may controul the freedom of the press, may abolish the trial by jury, may swallow up the Executive and Judiciary Powers of the State; nay that they may despoil us of our very right of suffrage, and erect themselves into an </w:t>
      </w:r>
      <w:r w:rsidR="00C061B2" w:rsidRPr="001838E4">
        <w:t>independent</w:t>
      </w:r>
      <w:r w:rsidRPr="001838E4">
        <w:t xml:space="preserve"> and hereditary assembly: or we must say, that they have no authority to enact into law the Bill under consideration. We the subscribers say, that the General Assembly of this Commonwealth have no such authority: And that no effort may be omitted on our part against so dangerous an usurpation, we oppose to it, this remonstrance; earnestly praying, as we are in duty bound, that the Supreme Lawgiver of the Universe, by illuminating those to whom it is addressed, may on the one hand, turn their councils from every act which would affront his holy prerogative, or violate the trust committed to them: and on the other, guide them into every measure which may be worthy of his [blessing, may re]dound to their own praise, and may establish more firmly the liberties, the prosperity, and the Happiness of the Commonwealth.</w:t>
      </w:r>
    </w:p>
    <w:p w:rsidR="004A2BD3" w:rsidRDefault="004A2BD3" w:rsidP="001838E4">
      <w:pPr>
        <w:tabs>
          <w:tab w:val="left" w:pos="720"/>
        </w:tabs>
        <w:spacing w:line="480" w:lineRule="auto"/>
        <w:ind w:left="720" w:hanging="720"/>
        <w:contextualSpacing/>
        <w:sectPr w:rsidR="004A2BD3" w:rsidSect="00AC21EF">
          <w:footnotePr>
            <w:numRestart w:val="eachSect"/>
          </w:footnotePr>
          <w:pgSz w:w="12240" w:h="15840"/>
          <w:pgMar w:top="1440" w:right="1440" w:bottom="1440" w:left="2160" w:header="720" w:footer="720" w:gutter="0"/>
          <w:cols w:space="720"/>
          <w:docGrid w:linePitch="360"/>
        </w:sectPr>
      </w:pPr>
    </w:p>
    <w:p w:rsidR="004A2BD3" w:rsidRDefault="004A2BD3" w:rsidP="004A2BD3">
      <w:pPr>
        <w:tabs>
          <w:tab w:val="left" w:pos="720"/>
        </w:tabs>
        <w:spacing w:line="480" w:lineRule="auto"/>
        <w:ind w:left="720" w:hanging="720"/>
        <w:contextualSpacing/>
        <w:jc w:val="center"/>
      </w:pPr>
      <w:r>
        <w:rPr>
          <w:b/>
          <w:u w:val="single"/>
        </w:rPr>
        <w:lastRenderedPageBreak/>
        <w:t>Appendix C</w:t>
      </w:r>
    </w:p>
    <w:p w:rsidR="00846AB0" w:rsidRDefault="00846AB0" w:rsidP="00846AB0">
      <w:pPr>
        <w:tabs>
          <w:tab w:val="left" w:pos="720"/>
        </w:tabs>
        <w:spacing w:line="480" w:lineRule="auto"/>
        <w:contextualSpacing/>
      </w:pPr>
      <w:bookmarkStart w:id="74" w:name="_Hlk524712790"/>
      <w:r w:rsidRPr="005534B0">
        <w:rPr>
          <w:u w:val="single"/>
        </w:rPr>
        <w:t>A Bill Establishing A Provision for Teachers of the Christian Religion</w:t>
      </w:r>
      <w:r>
        <w:t>.</w:t>
      </w:r>
    </w:p>
    <w:bookmarkEnd w:id="74"/>
    <w:p w:rsidR="00846AB0" w:rsidRDefault="00846AB0" w:rsidP="00846AB0">
      <w:pPr>
        <w:tabs>
          <w:tab w:val="left" w:pos="720"/>
        </w:tabs>
        <w:spacing w:line="480" w:lineRule="auto"/>
        <w:contextualSpacing/>
      </w:pPr>
      <w:r>
        <w:t>Whereas the general diffusion of Christian knowledge hath a natural tendency to correct the morals of men, restrain their vices, and preserve the peace of society; which cannot be effected without a competent provision for learned teachers, who may be thereby enabled to devote their time and attention to the duty of instructing such citizens, as from their circumstances and want of education, cannot otherwise attain such knowledge; and it is judged that such provision may be made by the Legislature, without counteracting the liberal principle heretofore adopted and intended to be preserved by abolishing all distinctions of pre-eminence amongst the different societies or communities of Christians;</w:t>
      </w:r>
    </w:p>
    <w:p w:rsidR="00846AB0" w:rsidRDefault="00846AB0" w:rsidP="00846AB0">
      <w:pPr>
        <w:tabs>
          <w:tab w:val="left" w:pos="720"/>
        </w:tabs>
        <w:spacing w:line="480" w:lineRule="auto"/>
        <w:contextualSpacing/>
      </w:pPr>
      <w:r>
        <w:t>Be it therefore enacted by the General Assembly, that for the support of Christian teachers,—per centum on the amount, or—in the pound on the sum payable for tax on the property within this Commonwealth, is hereby assessed, and shall be paid by every person chargeable with the said tax at the time the same shall become due; and the Sheriffs of the several Counties shall have power to levy and collect the same in the same manner and under *73 the like restrictions and limitations, as are or may be prescribed by the laws for raising the Revenues of this State.</w:t>
      </w:r>
    </w:p>
    <w:p w:rsidR="00846AB0" w:rsidRDefault="00846AB0" w:rsidP="00846AB0">
      <w:pPr>
        <w:tabs>
          <w:tab w:val="left" w:pos="720"/>
        </w:tabs>
        <w:spacing w:line="480" w:lineRule="auto"/>
        <w:contextualSpacing/>
      </w:pPr>
      <w:r>
        <w:t xml:space="preserve">And be it enacted, </w:t>
      </w:r>
      <w:r w:rsidR="00C061B2">
        <w:t>that</w:t>
      </w:r>
      <w:r>
        <w:t xml:space="preserve"> for every sum so paid, the Sheriff or Collector shall give a receipt, expressing therein to what soci</w:t>
      </w:r>
      <w:r w:rsidR="00C061B2">
        <w:t>e</w:t>
      </w:r>
      <w:r>
        <w:t xml:space="preserve">ty of Christians the person from whom he may receive the same shall direct the money to be paid, keeping a distinct account thereof in his books. The Sheriff of every County, shall, on or before the _ _ day of _ _ in every year, return to the Court, upon oath, two alphabetical lists of the payments to him made, </w:t>
      </w:r>
      <w:r>
        <w:lastRenderedPageBreak/>
        <w:t>distinguishing in columns opposite to the names of the persons who shall have paid the same, the society to which the money so paid was by them appropriated; and one column for the names where no appropriation shall be made. One of which lists, after being recorded in a book to be kept for that purpose, shall be filed by the Clerk in his office; the other shall be the Sheriff be fixed up in the Court-house, there to remain for the inspection of all concerned. And the Sheriff, after deducting five per centum for the collection, shall forthwith pay to such person or persons as shall be appointed to receive the same by the Vestry, Elders, or Directors, however, denominated of each such society, the sum so stated to be due to that society; or in default thereof, upon the motion of such person or persons to the next or any succeeding Court, execution shall be awarded for the same against the Sheriff and his security, his and their executors or administrators; provided that ten days previous notice be given of such motion. An upon every such execution, the Officer serving the same shall proceed to immediate sale of the estate taken, and shall not accept of security for payment at the end of three months, nor to have the goods forthcoming at the day of sale; for his better direction wherein, the Clerk shall endorse upon every such execution that no security of any kind shall be taken.</w:t>
      </w:r>
    </w:p>
    <w:p w:rsidR="00846AB0" w:rsidRDefault="00846AB0" w:rsidP="00846AB0">
      <w:pPr>
        <w:tabs>
          <w:tab w:val="left" w:pos="720"/>
        </w:tabs>
        <w:spacing w:line="480" w:lineRule="auto"/>
        <w:contextualSpacing/>
      </w:pPr>
      <w:r>
        <w:t xml:space="preserve">*74 And be it further enacted, That the money to be raised by virtue of this Act, shall be by the Vestries, Elders, or Directors of each religious society, appropriated to a provision for a Minister or Teacher of the Gospel of their denomination, or the providing place of divine worship, and to none other use whatsoever; except in the denominations of Quakers and </w:t>
      </w:r>
      <w:r w:rsidR="00C061B2">
        <w:t>Mennonites</w:t>
      </w:r>
      <w:r>
        <w:t xml:space="preserve">, who may receive what is collected from their members, and place it in their general fund, to be disposed of in a manner which they shall think best calculated to promote their particular mode of worship. DP **540 And be it enacted, That </w:t>
      </w:r>
      <w:r>
        <w:lastRenderedPageBreak/>
        <w:t>all sums which at the time of payment to the Sheriff or Collector may not be appropriated by the person paying the same, shall be accounted for with the Court in manner as by this Act is directed; and after deducting for his collection, the Sheriff shall pay the amount thereof (upon account certified by the Court to the Auditors of Public Accounts, and by them to the Treasurer) into the public Treasury, to be disposed of under the direction of the General Assembly, for the encouragement of seminaries of learning within the Counties whence such sums shall arise, and to no other use or purpose whatsoever.</w:t>
      </w:r>
    </w:p>
    <w:p w:rsidR="000E10FE" w:rsidRDefault="00846AB0" w:rsidP="00846AB0">
      <w:pPr>
        <w:tabs>
          <w:tab w:val="left" w:pos="720"/>
        </w:tabs>
        <w:spacing w:line="480" w:lineRule="auto"/>
        <w:contextualSpacing/>
      </w:pPr>
      <w:r>
        <w:t>THIS Act shall commence, and be in force, from and after the—day of _ _ in the year _ _</w:t>
      </w:r>
    </w:p>
    <w:p w:rsidR="00433E9D" w:rsidRDefault="00433E9D" w:rsidP="00846AB0">
      <w:pPr>
        <w:tabs>
          <w:tab w:val="left" w:pos="720"/>
        </w:tabs>
        <w:spacing w:line="480" w:lineRule="auto"/>
        <w:contextualSpacing/>
        <w:sectPr w:rsidR="00433E9D" w:rsidSect="00AC21EF">
          <w:footnotePr>
            <w:numRestart w:val="eachSect"/>
          </w:footnotePr>
          <w:pgSz w:w="12240" w:h="15840"/>
          <w:pgMar w:top="1440" w:right="1440" w:bottom="1440" w:left="2160" w:header="720" w:footer="720" w:gutter="0"/>
          <w:cols w:space="720"/>
          <w:docGrid w:linePitch="360"/>
        </w:sectPr>
      </w:pPr>
    </w:p>
    <w:p w:rsidR="00B75710" w:rsidRDefault="00433E9D" w:rsidP="00433E9D">
      <w:pPr>
        <w:tabs>
          <w:tab w:val="left" w:pos="720"/>
        </w:tabs>
        <w:spacing w:line="480" w:lineRule="auto"/>
        <w:contextualSpacing/>
        <w:jc w:val="center"/>
      </w:pPr>
      <w:r>
        <w:lastRenderedPageBreak/>
        <w:t>Appendix D</w:t>
      </w:r>
    </w:p>
    <w:p w:rsidR="00433E9D" w:rsidRPr="009853CC" w:rsidRDefault="00433E9D" w:rsidP="00433E9D">
      <w:pPr>
        <w:tabs>
          <w:tab w:val="left" w:pos="720"/>
        </w:tabs>
        <w:spacing w:line="480" w:lineRule="auto"/>
        <w:contextualSpacing/>
      </w:pPr>
      <w:r w:rsidRPr="005534B0">
        <w:rPr>
          <w:u w:val="single"/>
        </w:rPr>
        <w:t>The First Amendment</w:t>
      </w:r>
      <w:r>
        <w:t xml:space="preserve">: </w:t>
      </w:r>
      <w:r w:rsidRPr="00433E9D">
        <w:t>Congress shall make no law respecting an establishment of religion, or prohibiting the free exercise thereof; or abridging the freedom of speech, or of the press; or the right of the people peaceably to assemble, and to petition the Government for a redress of grievances.</w:t>
      </w:r>
    </w:p>
    <w:sectPr w:rsidR="00433E9D" w:rsidRPr="009853CC" w:rsidSect="00AC21EF">
      <w:footnotePr>
        <w:numRestart w:val="eachSect"/>
      </w:footnotePr>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5B0" w:rsidRDefault="00F015B0" w:rsidP="009A01CA">
      <w:pPr>
        <w:spacing w:after="0" w:line="240" w:lineRule="auto"/>
      </w:pPr>
      <w:r>
        <w:separator/>
      </w:r>
    </w:p>
  </w:endnote>
  <w:endnote w:type="continuationSeparator" w:id="0">
    <w:p w:rsidR="00F015B0" w:rsidRDefault="00F015B0" w:rsidP="009A01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ode">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2999093"/>
      <w:docPartObj>
        <w:docPartGallery w:val="Page Numbers (Bottom of Page)"/>
        <w:docPartUnique/>
      </w:docPartObj>
    </w:sdtPr>
    <w:sdtEndPr>
      <w:rPr>
        <w:noProof/>
      </w:rPr>
    </w:sdtEndPr>
    <w:sdtContent>
      <w:p w:rsidR="007A32E1" w:rsidRDefault="007A32E1">
        <w:pPr>
          <w:pStyle w:val="Footer"/>
          <w:jc w:val="center"/>
        </w:pPr>
        <w:r>
          <w:fldChar w:fldCharType="begin"/>
        </w:r>
        <w:r>
          <w:instrText xml:space="preserve"> PAGE   \* MERGEFORMAT </w:instrText>
        </w:r>
        <w:r>
          <w:fldChar w:fldCharType="separate"/>
        </w:r>
        <w:r w:rsidR="00AF11FB">
          <w:rPr>
            <w:noProof/>
          </w:rPr>
          <w:t>i</w:t>
        </w:r>
        <w:r>
          <w:rPr>
            <w:noProof/>
          </w:rPr>
          <w:fldChar w:fldCharType="end"/>
        </w:r>
      </w:p>
    </w:sdtContent>
  </w:sdt>
  <w:p w:rsidR="007A32E1" w:rsidRDefault="007A32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6389259"/>
      <w:docPartObj>
        <w:docPartGallery w:val="Page Numbers (Bottom of Page)"/>
        <w:docPartUnique/>
      </w:docPartObj>
    </w:sdtPr>
    <w:sdtEndPr>
      <w:rPr>
        <w:noProof/>
      </w:rPr>
    </w:sdtEndPr>
    <w:sdtContent>
      <w:p w:rsidR="007A32E1" w:rsidRDefault="007A32E1">
        <w:pPr>
          <w:pStyle w:val="Footer"/>
          <w:jc w:val="center"/>
        </w:pPr>
        <w:r>
          <w:fldChar w:fldCharType="begin"/>
        </w:r>
        <w:r>
          <w:instrText xml:space="preserve"> PAGE   \* MERGEFORMAT </w:instrText>
        </w:r>
        <w:r>
          <w:fldChar w:fldCharType="separate"/>
        </w:r>
        <w:r w:rsidR="00AF11FB">
          <w:rPr>
            <w:noProof/>
          </w:rPr>
          <w:t>xii</w:t>
        </w:r>
        <w:r>
          <w:rPr>
            <w:noProof/>
          </w:rPr>
          <w:fldChar w:fldCharType="end"/>
        </w:r>
      </w:p>
    </w:sdtContent>
  </w:sdt>
  <w:p w:rsidR="007A32E1" w:rsidRDefault="007A32E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5067612"/>
      <w:docPartObj>
        <w:docPartGallery w:val="Page Numbers (Bottom of Page)"/>
        <w:docPartUnique/>
      </w:docPartObj>
    </w:sdtPr>
    <w:sdtEndPr>
      <w:rPr>
        <w:noProof/>
      </w:rPr>
    </w:sdtEndPr>
    <w:sdtContent>
      <w:p w:rsidR="007A32E1" w:rsidRDefault="007A32E1">
        <w:pPr>
          <w:pStyle w:val="Footer"/>
          <w:jc w:val="right"/>
        </w:pPr>
        <w:r>
          <w:fldChar w:fldCharType="begin"/>
        </w:r>
        <w:r>
          <w:instrText xml:space="preserve"> PAGE   \* MERGEFORMAT </w:instrText>
        </w:r>
        <w:r>
          <w:fldChar w:fldCharType="separate"/>
        </w:r>
        <w:r w:rsidR="00AF11FB">
          <w:rPr>
            <w:noProof/>
          </w:rPr>
          <w:t>8</w:t>
        </w:r>
        <w:r>
          <w:rPr>
            <w:noProof/>
          </w:rPr>
          <w:fldChar w:fldCharType="end"/>
        </w:r>
      </w:p>
    </w:sdtContent>
  </w:sdt>
  <w:p w:rsidR="007A32E1" w:rsidRDefault="007A32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5B0" w:rsidRDefault="00F015B0" w:rsidP="009A01CA">
      <w:pPr>
        <w:spacing w:after="0" w:line="240" w:lineRule="auto"/>
      </w:pPr>
      <w:r>
        <w:separator/>
      </w:r>
    </w:p>
  </w:footnote>
  <w:footnote w:type="continuationSeparator" w:id="0">
    <w:p w:rsidR="00F015B0" w:rsidRDefault="00F015B0" w:rsidP="009A01CA">
      <w:pPr>
        <w:spacing w:after="0" w:line="240" w:lineRule="auto"/>
      </w:pPr>
      <w:r>
        <w:continuationSeparator/>
      </w:r>
    </w:p>
  </w:footnote>
  <w:footnote w:id="1">
    <w:p w:rsidR="007A32E1" w:rsidRPr="00C97446" w:rsidRDefault="007A32E1">
      <w:pPr>
        <w:pStyle w:val="FootnoteText"/>
      </w:pPr>
      <w:r>
        <w:rPr>
          <w:rStyle w:val="FootnoteReference"/>
        </w:rPr>
        <w:footnoteRef/>
      </w:r>
      <w:r>
        <w:t xml:space="preserve"> James Edward Morton, </w:t>
      </w:r>
      <w:r w:rsidRPr="00C97446">
        <w:rPr>
          <w:i/>
        </w:rPr>
        <w:t>Church and State in Protestant Tradition</w:t>
      </w:r>
      <w:r>
        <w:rPr>
          <w:i/>
        </w:rPr>
        <w:t xml:space="preserve">, </w:t>
      </w:r>
      <w:r>
        <w:t>Appendix A, 1955.</w:t>
      </w:r>
    </w:p>
  </w:footnote>
  <w:footnote w:id="2">
    <w:p w:rsidR="007A32E1" w:rsidRDefault="007A32E1" w:rsidP="00AC7F40">
      <w:pPr>
        <w:pStyle w:val="FootnoteText"/>
      </w:pPr>
      <w:r>
        <w:rPr>
          <w:rStyle w:val="FootnoteReference"/>
        </w:rPr>
        <w:footnoteRef/>
      </w:r>
      <w:r>
        <w:t xml:space="preserve"> </w:t>
      </w:r>
      <w:r w:rsidRPr="001F23A3">
        <w:t xml:space="preserve">Dr. Suzanne Sutherland, Class lecture in </w:t>
      </w:r>
      <w:r w:rsidRPr="001F23A3">
        <w:rPr>
          <w:i/>
        </w:rPr>
        <w:t>The Reformation</w:t>
      </w:r>
      <w:r w:rsidRPr="001F23A3">
        <w:t xml:space="preserve"> (Murfreesboro: Middle Tennessee State University,</w:t>
      </w:r>
      <w:r>
        <w:t xml:space="preserve"> Spring</w:t>
      </w:r>
      <w:r w:rsidRPr="001F23A3">
        <w:t xml:space="preserve"> 2018)</w:t>
      </w:r>
      <w:r>
        <w:t>.</w:t>
      </w:r>
    </w:p>
  </w:footnote>
  <w:footnote w:id="3">
    <w:p w:rsidR="007A32E1" w:rsidRDefault="007A32E1" w:rsidP="00AC7F40">
      <w:pPr>
        <w:pStyle w:val="FootnoteText"/>
      </w:pPr>
      <w:r>
        <w:rPr>
          <w:rStyle w:val="FootnoteReference"/>
        </w:rPr>
        <w:footnoteRef/>
      </w:r>
      <w:r>
        <w:t xml:space="preserve"> </w:t>
      </w:r>
      <w:r w:rsidRPr="00C909E7">
        <w:t xml:space="preserve">R. Po-Chia Hsia, </w:t>
      </w:r>
      <w:r w:rsidRPr="00C909E7">
        <w:rPr>
          <w:i/>
        </w:rPr>
        <w:t>Social Discipline in the Reformation: Central Europe 1550-1750</w:t>
      </w:r>
      <w:r>
        <w:rPr>
          <w:i/>
        </w:rPr>
        <w:t xml:space="preserve"> </w:t>
      </w:r>
      <w:r>
        <w:t>(</w:t>
      </w:r>
      <w:r w:rsidRPr="00C909E7">
        <w:t>New York: Routledge, 1992</w:t>
      </w:r>
      <w:r>
        <w:t>), 5.</w:t>
      </w:r>
    </w:p>
  </w:footnote>
  <w:footnote w:id="4">
    <w:p w:rsidR="007A32E1" w:rsidRDefault="007A32E1" w:rsidP="00AC7F40">
      <w:pPr>
        <w:pStyle w:val="FootnoteText"/>
      </w:pPr>
      <w:r>
        <w:rPr>
          <w:rStyle w:val="FootnoteReference"/>
        </w:rPr>
        <w:footnoteRef/>
      </w:r>
      <w:r>
        <w:t xml:space="preserve"> Ibid., 5, 11.</w:t>
      </w:r>
    </w:p>
  </w:footnote>
  <w:footnote w:id="5">
    <w:p w:rsidR="007A32E1" w:rsidRDefault="007A32E1" w:rsidP="00AC7F40">
      <w:pPr>
        <w:pStyle w:val="FootnoteText"/>
      </w:pPr>
      <w:r>
        <w:rPr>
          <w:rStyle w:val="FootnoteReference"/>
        </w:rPr>
        <w:footnoteRef/>
      </w:r>
      <w:r>
        <w:t xml:space="preserve"> Ibid.</w:t>
      </w:r>
    </w:p>
  </w:footnote>
  <w:footnote w:id="6">
    <w:p w:rsidR="007A32E1" w:rsidRDefault="007A32E1" w:rsidP="00AC7F40">
      <w:pPr>
        <w:pStyle w:val="FootnoteText"/>
      </w:pPr>
      <w:r>
        <w:rPr>
          <w:rStyle w:val="FootnoteReference"/>
        </w:rPr>
        <w:footnoteRef/>
      </w:r>
      <w:r>
        <w:t xml:space="preserve"> </w:t>
      </w:r>
      <w:r w:rsidRPr="00EF5943">
        <w:t xml:space="preserve">"Curia." </w:t>
      </w:r>
      <w:r w:rsidRPr="00EF5943">
        <w:rPr>
          <w:i/>
          <w:iCs/>
        </w:rPr>
        <w:t>Oxford Reference</w:t>
      </w:r>
      <w:r>
        <w:rPr>
          <w:i/>
          <w:iCs/>
        </w:rPr>
        <w:t xml:space="preserve">: </w:t>
      </w:r>
      <w:r w:rsidRPr="00EF5943">
        <w:t>http://www.oxfordreference.com.ezproxy.mtsu.edu/view/10.1093/oi/authority.20110803095654613.</w:t>
      </w:r>
    </w:p>
  </w:footnote>
  <w:footnote w:id="7">
    <w:p w:rsidR="007A32E1" w:rsidRDefault="007A32E1" w:rsidP="00AC7F40">
      <w:pPr>
        <w:pStyle w:val="FootnoteText"/>
      </w:pPr>
      <w:r>
        <w:rPr>
          <w:rStyle w:val="FootnoteReference"/>
        </w:rPr>
        <w:footnoteRef/>
      </w:r>
      <w:r>
        <w:t xml:space="preserve"> </w:t>
      </w:r>
      <w:bookmarkStart w:id="5" w:name="_Hlk494548860"/>
      <w:r>
        <w:t>Oxford Dictionary</w:t>
      </w:r>
      <w:bookmarkEnd w:id="5"/>
      <w:r>
        <w:t>,</w:t>
      </w:r>
      <w:r w:rsidRPr="002571C7">
        <w:t xml:space="preserve"> https://en.oxforddictio</w:t>
      </w:r>
      <w:r>
        <w:t>naries.com/definition.</w:t>
      </w:r>
    </w:p>
  </w:footnote>
  <w:footnote w:id="8">
    <w:p w:rsidR="007A32E1" w:rsidRPr="0088126A" w:rsidRDefault="007A32E1" w:rsidP="00537E1E">
      <w:pPr>
        <w:pStyle w:val="FootnoteText"/>
      </w:pPr>
      <w:r>
        <w:rPr>
          <w:rStyle w:val="FootnoteReference"/>
        </w:rPr>
        <w:footnoteRef/>
      </w:r>
      <w:r>
        <w:t xml:space="preserve"> </w:t>
      </w:r>
      <w:r w:rsidRPr="001B7678">
        <w:t xml:space="preserve">James Madison, </w:t>
      </w:r>
      <w:r w:rsidRPr="001B7678">
        <w:rPr>
          <w:i/>
        </w:rPr>
        <w:t xml:space="preserve">The Federalist Papers No. 10, </w:t>
      </w:r>
      <w:r w:rsidRPr="001B7678">
        <w:t>(New Haven: Lillian Goldman Law Library, 2008)</w:t>
      </w:r>
      <w:r>
        <w:t xml:space="preserve">: </w:t>
      </w:r>
      <w:r w:rsidRPr="001B7678">
        <w:t>http://avalon.law.yale.edu/subject_menus/fed.asp</w:t>
      </w:r>
      <w:r>
        <w:t>.</w:t>
      </w:r>
    </w:p>
  </w:footnote>
  <w:footnote w:id="9">
    <w:p w:rsidR="007A32E1" w:rsidRDefault="007A32E1">
      <w:pPr>
        <w:pStyle w:val="FootnoteText"/>
      </w:pPr>
      <w:r>
        <w:rPr>
          <w:rStyle w:val="FootnoteReference"/>
        </w:rPr>
        <w:footnoteRef/>
      </w:r>
      <w:r>
        <w:t xml:space="preserve"> Legal Information Institute. </w:t>
      </w:r>
      <w:r w:rsidRPr="00AF3DE6">
        <w:t>https://www.law.cornell.edu/wex/incorporation_doctrine</w:t>
      </w:r>
      <w:r>
        <w:t xml:space="preserve"> </w:t>
      </w:r>
    </w:p>
  </w:footnote>
  <w:footnote w:id="10">
    <w:p w:rsidR="007A32E1" w:rsidRDefault="007A32E1">
      <w:pPr>
        <w:pStyle w:val="FootnoteText"/>
      </w:pPr>
      <w:r>
        <w:rPr>
          <w:rStyle w:val="FootnoteReference"/>
        </w:rPr>
        <w:footnoteRef/>
      </w:r>
      <w:r>
        <w:t xml:space="preserve"> Webster’s 1828 Dictionary Online version, s.v. “liberty</w:t>
      </w:r>
      <w:r w:rsidR="003B753C">
        <w:t>,” http://www.webstersdictionary1828.com/Dictionary.</w:t>
      </w:r>
    </w:p>
  </w:footnote>
  <w:footnote w:id="11">
    <w:p w:rsidR="007A32E1" w:rsidRPr="00563B73" w:rsidRDefault="007A32E1">
      <w:pPr>
        <w:pStyle w:val="FootnoteText"/>
      </w:pPr>
      <w:r>
        <w:rPr>
          <w:rStyle w:val="FootnoteReference"/>
        </w:rPr>
        <w:footnoteRef/>
      </w:r>
      <w:r>
        <w:t xml:space="preserve"> Lee Epstein and Thomas G. Walker, </w:t>
      </w:r>
      <w:r>
        <w:rPr>
          <w:i/>
        </w:rPr>
        <w:t>Constitutional Law for a Changing America: Rights, Liberties, and Justice</w:t>
      </w:r>
      <w:r>
        <w:t>, 9</w:t>
      </w:r>
      <w:r w:rsidRPr="00563B73">
        <w:rPr>
          <w:vertAlign w:val="superscript"/>
        </w:rPr>
        <w:t>th</w:t>
      </w:r>
      <w:r>
        <w:t xml:space="preserve"> ed., (Los Angeles: Sage, 2016), 24-5</w:t>
      </w:r>
      <w:r w:rsidR="003B753C">
        <w:t>.</w:t>
      </w:r>
      <w:r>
        <w:t xml:space="preserve"> </w:t>
      </w:r>
    </w:p>
  </w:footnote>
  <w:footnote w:id="12">
    <w:p w:rsidR="007A32E1" w:rsidRPr="0030629C" w:rsidRDefault="007A32E1" w:rsidP="00AC7F40">
      <w:pPr>
        <w:pStyle w:val="FootnoteText"/>
      </w:pPr>
      <w:r>
        <w:rPr>
          <w:rStyle w:val="FootnoteReference"/>
        </w:rPr>
        <w:footnoteRef/>
      </w:r>
      <w:r>
        <w:t xml:space="preserve"> </w:t>
      </w:r>
      <w:r w:rsidRPr="00C909E7">
        <w:t>Oxford Dictionary,</w:t>
      </w:r>
      <w:r>
        <w:t xml:space="preserve"> s.v. “synchronic,”</w:t>
      </w:r>
      <w:r w:rsidRPr="00C909E7">
        <w:t xml:space="preserve"> </w:t>
      </w:r>
      <w:hyperlink r:id="rId1" w:history="1">
        <w:r w:rsidRPr="0030629C">
          <w:rPr>
            <w:rStyle w:val="Hyperlink"/>
            <w:color w:val="auto"/>
          </w:rPr>
          <w:t>https://en.oxforddictionaries.com/definition</w:t>
        </w:r>
      </w:hyperlink>
      <w:r w:rsidRPr="0030629C">
        <w:t xml:space="preserve">. </w:t>
      </w:r>
    </w:p>
  </w:footnote>
  <w:footnote w:id="13">
    <w:p w:rsidR="007A32E1" w:rsidRDefault="007A32E1">
      <w:pPr>
        <w:pStyle w:val="FootnoteText"/>
      </w:pPr>
      <w:r w:rsidRPr="0030629C">
        <w:rPr>
          <w:rStyle w:val="FootnoteReference"/>
        </w:rPr>
        <w:footnoteRef/>
      </w:r>
      <w:r w:rsidRPr="0030629C">
        <w:t xml:space="preserve"> Merriam Webster Dictionary, </w:t>
      </w:r>
      <w:r>
        <w:t xml:space="preserve">s.v. “textualism,” </w:t>
      </w:r>
      <w:hyperlink r:id="rId2" w:history="1">
        <w:r w:rsidRPr="008752D5">
          <w:rPr>
            <w:rStyle w:val="Hyperlink"/>
          </w:rPr>
          <w:t>https://www.merriam-webster.com/dictionary/textualism</w:t>
        </w:r>
      </w:hyperlink>
      <w:r>
        <w:t>.</w:t>
      </w:r>
    </w:p>
  </w:footnote>
  <w:footnote w:id="14">
    <w:p w:rsidR="007A32E1" w:rsidRDefault="007A32E1" w:rsidP="00280501">
      <w:pPr>
        <w:pStyle w:val="FootnoteText"/>
      </w:pPr>
      <w:r>
        <w:rPr>
          <w:rStyle w:val="FootnoteReference"/>
        </w:rPr>
        <w:footnoteRef/>
      </w:r>
      <w:r>
        <w:t xml:space="preserve"> Neal Riemer,</w:t>
      </w:r>
      <w:r w:rsidRPr="003A2A66">
        <w:t xml:space="preserve"> </w:t>
      </w:r>
      <w:r w:rsidRPr="003A2A66">
        <w:rPr>
          <w:i/>
        </w:rPr>
        <w:t xml:space="preserve">James Madison: Creating the American Constitution </w:t>
      </w:r>
      <w:r>
        <w:t>(</w:t>
      </w:r>
      <w:r w:rsidRPr="003A2A66">
        <w:t>Washington: Congressional Quarterly, 1986</w:t>
      </w:r>
      <w:r>
        <w:t>), 7, 11.</w:t>
      </w:r>
    </w:p>
  </w:footnote>
  <w:footnote w:id="15">
    <w:p w:rsidR="007A32E1" w:rsidRDefault="007A32E1" w:rsidP="00280501">
      <w:pPr>
        <w:pStyle w:val="FootnoteText"/>
      </w:pPr>
      <w:r>
        <w:rPr>
          <w:rStyle w:val="FootnoteReference"/>
        </w:rPr>
        <w:footnoteRef/>
      </w:r>
      <w:r>
        <w:t xml:space="preserve"> Craig Grau, “More Than an Intellectual Scribe: The Political Drives and Traits of James Madison.” </w:t>
      </w:r>
      <w:r w:rsidRPr="00D80292">
        <w:rPr>
          <w:i/>
        </w:rPr>
        <w:t>James Madison: Philosopher, Founder, and Statesman.</w:t>
      </w:r>
      <w:r w:rsidRPr="00D80292">
        <w:t xml:space="preserve"> eds. John R. Vile, William D. Pederson, and Frank J. Williams (Athens: Ohio University Press, 2008),</w:t>
      </w:r>
      <w:r>
        <w:t>30.</w:t>
      </w:r>
    </w:p>
  </w:footnote>
  <w:footnote w:id="16">
    <w:p w:rsidR="007A32E1" w:rsidRDefault="007A32E1">
      <w:pPr>
        <w:pStyle w:val="FootnoteText"/>
      </w:pPr>
      <w:r>
        <w:rPr>
          <w:rStyle w:val="FootnoteReference"/>
        </w:rPr>
        <w:footnoteRef/>
      </w:r>
      <w:r>
        <w:t xml:space="preserve"> </w:t>
      </w:r>
      <w:r w:rsidRPr="00711559">
        <w:t xml:space="preserve">Robert J Morgan, </w:t>
      </w:r>
      <w:r w:rsidRPr="00711559">
        <w:rPr>
          <w:i/>
        </w:rPr>
        <w:t>James Madison on the Constitution and the Bill of Rights</w:t>
      </w:r>
      <w:r w:rsidRPr="00711559">
        <w:t xml:space="preserve"> (New York: Greenwood Press, 1988),</w:t>
      </w:r>
      <w:r>
        <w:t xml:space="preserve"> 131.</w:t>
      </w:r>
    </w:p>
  </w:footnote>
  <w:footnote w:id="17">
    <w:p w:rsidR="007A32E1" w:rsidRDefault="007A32E1">
      <w:pPr>
        <w:pStyle w:val="FootnoteText"/>
      </w:pPr>
      <w:r>
        <w:rPr>
          <w:rStyle w:val="FootnoteReference"/>
        </w:rPr>
        <w:footnoteRef/>
      </w:r>
      <w:r>
        <w:t xml:space="preserve"> Gaillard Hunt, Writings vol, 1 xxiii. (see chap. 1 n 8.)</w:t>
      </w:r>
      <w:r w:rsidR="003B753C">
        <w:t>.</w:t>
      </w:r>
    </w:p>
  </w:footnote>
  <w:footnote w:id="18">
    <w:p w:rsidR="007A32E1" w:rsidRDefault="007A32E1">
      <w:pPr>
        <w:pStyle w:val="FootnoteText"/>
      </w:pPr>
      <w:r>
        <w:rPr>
          <w:rStyle w:val="FootnoteReference"/>
        </w:rPr>
        <w:footnoteRef/>
      </w:r>
      <w:r>
        <w:t xml:space="preserve"> Proverbs 27:2.</w:t>
      </w:r>
    </w:p>
  </w:footnote>
  <w:footnote w:id="19">
    <w:p w:rsidR="007A32E1" w:rsidRPr="004F46E8" w:rsidRDefault="007A32E1">
      <w:pPr>
        <w:pStyle w:val="FootnoteText"/>
        <w:rPr>
          <w:lang w:val="en"/>
        </w:rPr>
      </w:pPr>
      <w:r>
        <w:rPr>
          <w:rStyle w:val="FootnoteReference"/>
        </w:rPr>
        <w:footnoteRef/>
      </w:r>
      <w:r>
        <w:t xml:space="preserve"> </w:t>
      </w:r>
      <w:r w:rsidRPr="004F46E8">
        <w:rPr>
          <w:lang w:val="en"/>
        </w:rPr>
        <w:t xml:space="preserve">Lucia Beverly Cutts, </w:t>
      </w:r>
      <w:r w:rsidRPr="004F46E8">
        <w:rPr>
          <w:i/>
          <w:lang w:val="en"/>
        </w:rPr>
        <w:t>Memoirs and Letters of Dolly Madison</w:t>
      </w:r>
      <w:r w:rsidRPr="004F46E8">
        <w:rPr>
          <w:lang w:val="en"/>
        </w:rPr>
        <w:t xml:space="preserve"> </w:t>
      </w:r>
      <w:r>
        <w:rPr>
          <w:lang w:val="en"/>
        </w:rPr>
        <w:t>(</w:t>
      </w:r>
      <w:r w:rsidRPr="004F46E8">
        <w:rPr>
          <w:lang w:val="en"/>
        </w:rPr>
        <w:t>Lexington: Big Byte Books, 2018</w:t>
      </w:r>
      <w:r>
        <w:rPr>
          <w:lang w:val="en"/>
        </w:rPr>
        <w:t>), 50</w:t>
      </w:r>
      <w:r w:rsidRPr="004F46E8">
        <w:rPr>
          <w:lang w:val="en"/>
        </w:rPr>
        <w:t>.</w:t>
      </w:r>
      <w:r w:rsidRPr="004F46E8">
        <w:rPr>
          <w:i/>
          <w:lang w:val="en"/>
        </w:rPr>
        <w:t xml:space="preserve"> </w:t>
      </w:r>
    </w:p>
  </w:footnote>
  <w:footnote w:id="20">
    <w:p w:rsidR="007A32E1" w:rsidRDefault="007A32E1">
      <w:pPr>
        <w:pStyle w:val="FootnoteText"/>
      </w:pPr>
      <w:r w:rsidRPr="005C06EB">
        <w:rPr>
          <w:rStyle w:val="FootnoteReference"/>
        </w:rPr>
        <w:footnoteRef/>
      </w:r>
      <w:r w:rsidRPr="005C06EB">
        <w:t xml:space="preserve"> </w:t>
      </w:r>
      <w:r>
        <w:t xml:space="preserve">Inman Horner, “Editorial Note,” </w:t>
      </w:r>
      <w:r w:rsidRPr="005C06EB">
        <w:rPr>
          <w:i/>
        </w:rPr>
        <w:t>The Papers of James Madison</w:t>
      </w:r>
      <w:r w:rsidRPr="005C06EB">
        <w:t>, vol 1, ed. William T. Hutchinson and William M. E. Rachal (Chicago: University of Chicago Press, 1962), 70.</w:t>
      </w:r>
    </w:p>
  </w:footnote>
  <w:footnote w:id="21">
    <w:p w:rsidR="007A32E1" w:rsidRPr="000B25CD" w:rsidRDefault="007A32E1" w:rsidP="00187C22">
      <w:pPr>
        <w:pStyle w:val="FootnoteText"/>
      </w:pPr>
      <w:r>
        <w:rPr>
          <w:rStyle w:val="FootnoteReference"/>
        </w:rPr>
        <w:footnoteRef/>
      </w:r>
      <w:r>
        <w:t xml:space="preserve"> </w:t>
      </w:r>
      <w:r w:rsidRPr="00187C22">
        <w:t>I came across one such exchange between Madison and Bradford that indicates the free nature of their correspondence and lack of concern for the information ever being made public. Bradford, in a letter dated June 2, 1775, expresses the suspicion, shared by others, that Benjamin Franklin was a traitor to the cause of the American Revolution.</w:t>
      </w:r>
      <w:r>
        <w:t xml:space="preserve"> </w:t>
      </w:r>
      <w:r w:rsidRPr="00187C22">
        <w:t>Madison, in his reply, considers the idea and conveys his incredulity as the accusation is not in keeping with Franklin’s character. He further cautions against condemning a man just on suspicion stating, “it appears to me that the bare suspicion of his guilt amounts very nearly to a proof of its reality.”</w:t>
      </w:r>
      <w:r>
        <w:t xml:space="preserve"> William Bradford, </w:t>
      </w:r>
      <w:bookmarkStart w:id="8" w:name="_Hlk519430005"/>
      <w:r>
        <w:rPr>
          <w:i/>
        </w:rPr>
        <w:t>The Papers of James Madison</w:t>
      </w:r>
      <w:r>
        <w:t xml:space="preserve">, vol 1, ed. William T. Hutchinson and William M. E. Rachal (Chicago: University of Chicago Press, 1962), </w:t>
      </w:r>
      <w:bookmarkEnd w:id="8"/>
      <w:r>
        <w:t>149 and</w:t>
      </w:r>
      <w:r w:rsidRPr="00187C22">
        <w:t xml:space="preserve"> James Madison, </w:t>
      </w:r>
      <w:bookmarkStart w:id="9" w:name="_Hlk526859798"/>
      <w:r w:rsidRPr="00187C22">
        <w:rPr>
          <w:i/>
        </w:rPr>
        <w:t>The Papers of James Madison</w:t>
      </w:r>
      <w:r w:rsidRPr="00187C22">
        <w:t>, vol 1, ed. William T. Hutchinson and William M. E. Rachal (Chicago: University of Chicago Press, 1962), 151</w:t>
      </w:r>
      <w:r>
        <w:t>.</w:t>
      </w:r>
    </w:p>
    <w:bookmarkEnd w:id="9"/>
  </w:footnote>
  <w:footnote w:id="22">
    <w:p w:rsidR="007A32E1" w:rsidRDefault="007A32E1">
      <w:pPr>
        <w:pStyle w:val="FootnoteText"/>
      </w:pPr>
      <w:r>
        <w:rPr>
          <w:rStyle w:val="FootnoteReference"/>
        </w:rPr>
        <w:footnoteRef/>
      </w:r>
      <w:r>
        <w:t>James Madison quoted in</w:t>
      </w:r>
      <w:r w:rsidRPr="00971411">
        <w:t xml:space="preserve"> John R. Vile</w:t>
      </w:r>
      <w:r>
        <w:t>,</w:t>
      </w:r>
      <w:r w:rsidRPr="00971411">
        <w:t xml:space="preserve"> “James Madison and Constitutional Paternity</w:t>
      </w:r>
      <w:r>
        <w:t>,</w:t>
      </w:r>
      <w:r w:rsidRPr="00971411">
        <w:t xml:space="preserve">” </w:t>
      </w:r>
      <w:r w:rsidRPr="00971411">
        <w:rPr>
          <w:i/>
        </w:rPr>
        <w:t>James Madison: Philosopher, Founder, and Statesman</w:t>
      </w:r>
      <w:r>
        <w:rPr>
          <w:i/>
        </w:rPr>
        <w:t>,</w:t>
      </w:r>
      <w:r w:rsidRPr="00971411">
        <w:t xml:space="preserve"> </w:t>
      </w:r>
      <w:r>
        <w:t>e</w:t>
      </w:r>
      <w:r w:rsidRPr="00971411">
        <w:t xml:space="preserve">ds. John R. Vile, William D. Pederson, and Frank J. Williams </w:t>
      </w:r>
      <w:r>
        <w:t>(</w:t>
      </w:r>
      <w:r w:rsidRPr="00971411">
        <w:t>Athens: Ohio University Press, 2008</w:t>
      </w:r>
      <w:r>
        <w:t>), 41.</w:t>
      </w:r>
    </w:p>
  </w:footnote>
  <w:footnote w:id="23">
    <w:p w:rsidR="007A32E1" w:rsidRPr="008015F0" w:rsidRDefault="007A32E1" w:rsidP="00C75504">
      <w:pPr>
        <w:pStyle w:val="FootnoteText"/>
      </w:pPr>
      <w:r>
        <w:rPr>
          <w:rStyle w:val="FootnoteReference"/>
        </w:rPr>
        <w:footnoteRef/>
      </w:r>
      <w:r>
        <w:t xml:space="preserve"> </w:t>
      </w:r>
      <w:bookmarkStart w:id="10" w:name="_Hlk503431471"/>
      <w:bookmarkStart w:id="11" w:name="_Hlk514844200"/>
      <w:r>
        <w:t xml:space="preserve">Hans J. Hillerbrand, </w:t>
      </w:r>
      <w:r>
        <w:rPr>
          <w:i/>
        </w:rPr>
        <w:t xml:space="preserve">The Division of Christendom: Christianity in the Sixteenth Century </w:t>
      </w:r>
      <w:r>
        <w:t>(Louisville: Westminster John Knox Press, 2007</w:t>
      </w:r>
      <w:bookmarkEnd w:id="10"/>
      <w:r>
        <w:t xml:space="preserve">), </w:t>
      </w:r>
      <w:bookmarkEnd w:id="11"/>
      <w:r>
        <w:t>2.</w:t>
      </w:r>
    </w:p>
  </w:footnote>
  <w:footnote w:id="24">
    <w:p w:rsidR="007A32E1" w:rsidRDefault="007A32E1" w:rsidP="00C75504">
      <w:pPr>
        <w:pStyle w:val="FootnoteText"/>
      </w:pPr>
      <w:r>
        <w:rPr>
          <w:rStyle w:val="FootnoteReference"/>
        </w:rPr>
        <w:footnoteRef/>
      </w:r>
      <w:r>
        <w:t xml:space="preserve"> There are some who have made the argument that the Reformation was one of the key elements that allowed for the development of the modern nation state. The various confessional churches needed the protection of the state and the state needed the support of the churches. Together they bootstrapped the various geo-political entities towards becoming an early version of the modern nation state. While the scope of this thesis does not permit me to fully address this issue, I find that their arguments, to some degree, are both plausible and interesting. Possible fodder for a future project.</w:t>
      </w:r>
    </w:p>
  </w:footnote>
  <w:footnote w:id="25">
    <w:p w:rsidR="007A32E1" w:rsidRDefault="007A32E1" w:rsidP="00C75504">
      <w:pPr>
        <w:pStyle w:val="FootnoteText"/>
      </w:pPr>
      <w:r>
        <w:rPr>
          <w:rStyle w:val="FootnoteReference"/>
        </w:rPr>
        <w:footnoteRef/>
      </w:r>
      <w:r>
        <w:t xml:space="preserve"> Defining exactly what is meant by the church is a difficult process. I attempt to clarify that moniker in the section on definitions.</w:t>
      </w:r>
    </w:p>
  </w:footnote>
  <w:footnote w:id="26">
    <w:p w:rsidR="007A32E1" w:rsidRDefault="007A32E1">
      <w:pPr>
        <w:pStyle w:val="FootnoteText"/>
      </w:pPr>
      <w:r>
        <w:rPr>
          <w:rStyle w:val="FootnoteReference"/>
        </w:rPr>
        <w:footnoteRef/>
      </w:r>
      <w:r>
        <w:t xml:space="preserve"> </w:t>
      </w:r>
      <w:r w:rsidRPr="00223BE0">
        <w:t xml:space="preserve">Hugo Black, quoted in Michael Paris, Kevin J. McMahon, “Absolutism and Democracy: Hugo L. Black’s Free Speech Jurisprudence.” In: Knowles H.J., Lichtman S.B. (eds) </w:t>
      </w:r>
      <w:r w:rsidRPr="00223BE0">
        <w:rPr>
          <w:i/>
        </w:rPr>
        <w:t>Judging Free Speech</w:t>
      </w:r>
      <w:r w:rsidRPr="00223BE0">
        <w:t xml:space="preserve">. New York: Palgrave Macmillan, 2015, </w:t>
      </w:r>
      <w:hyperlink r:id="rId3" w:anchor="citeas" w:history="1">
        <w:r w:rsidRPr="00223BE0">
          <w:rPr>
            <w:rStyle w:val="Hyperlink"/>
            <w:color w:val="auto"/>
          </w:rPr>
          <w:t>https://link.springer.com/chapter/10.1007/978-1-137-41262-1_4#citeas</w:t>
        </w:r>
      </w:hyperlink>
      <w:r w:rsidR="003B753C">
        <w:rPr>
          <w:rStyle w:val="Hyperlink"/>
          <w:color w:val="auto"/>
        </w:rPr>
        <w:t>.</w:t>
      </w:r>
    </w:p>
  </w:footnote>
  <w:footnote w:id="27">
    <w:p w:rsidR="007A32E1" w:rsidRDefault="007A32E1" w:rsidP="00AF0938">
      <w:pPr>
        <w:pStyle w:val="FootnoteText"/>
      </w:pPr>
      <w:r>
        <w:rPr>
          <w:rStyle w:val="FootnoteReference"/>
        </w:rPr>
        <w:footnoteRef/>
      </w:r>
      <w:r>
        <w:t xml:space="preserve"> There were other keyword searches that I employed here, however, most of those were related to finding a specific quote that I knew existed but was unsure of where Madison wrote it.</w:t>
      </w:r>
    </w:p>
  </w:footnote>
  <w:footnote w:id="28">
    <w:p w:rsidR="007A32E1" w:rsidRDefault="007A32E1" w:rsidP="000B0CA5">
      <w:pPr>
        <w:pStyle w:val="FootnoteText"/>
      </w:pPr>
      <w:r>
        <w:rPr>
          <w:rStyle w:val="FootnoteReference"/>
        </w:rPr>
        <w:footnoteRef/>
      </w:r>
      <w:r>
        <w:t xml:space="preserve"> In process tracing, my understanding is that you are looking at change over time: event a led to event b which led to event c, each event in some way making the choice as to what the next event looks like. If I were writing this as a Doctoral Dissertation I might well look at a chain of cases. For example, </w:t>
      </w:r>
      <w:r w:rsidRPr="00A27ED9">
        <w:rPr>
          <w:i/>
        </w:rPr>
        <w:t>Everson</w:t>
      </w:r>
      <w:r>
        <w:t xml:space="preserve">, and its interpretation of Madisonian thought led to </w:t>
      </w:r>
      <w:r w:rsidRPr="00A27ED9">
        <w:rPr>
          <w:i/>
        </w:rPr>
        <w:t>Lemon v. Kurtzman (1971)</w:t>
      </w:r>
      <w:r>
        <w:t xml:space="preserve"> which led to some other case yet to be decided. The Enlightenment and Reformation would provide foundational context for the Bill of rights and cultural contexts would be considered for each case. </w:t>
      </w:r>
    </w:p>
  </w:footnote>
  <w:footnote w:id="29">
    <w:p w:rsidR="007A32E1" w:rsidRDefault="007A32E1" w:rsidP="00C75504">
      <w:pPr>
        <w:pStyle w:val="FootnoteText"/>
      </w:pPr>
      <w:r>
        <w:rPr>
          <w:rStyle w:val="FootnoteReference"/>
        </w:rPr>
        <w:footnoteRef/>
      </w:r>
      <w:r>
        <w:t xml:space="preserve"> </w:t>
      </w:r>
      <w:r w:rsidRPr="00962D8B">
        <w:t xml:space="preserve">Wolfgang Reinhard, "Reformation, Counter-Reformation, and the Early Modern State a Reassessment," </w:t>
      </w:r>
      <w:r w:rsidRPr="00962D8B">
        <w:rPr>
          <w:i/>
          <w:iCs/>
        </w:rPr>
        <w:t>The Catholic Historical Review</w:t>
      </w:r>
      <w:r w:rsidRPr="00962D8B">
        <w:t xml:space="preserve"> 75, no. 3 (1989): 3</w:t>
      </w:r>
      <w:r>
        <w:t>84-5,</w:t>
      </w:r>
      <w:r w:rsidRPr="00962D8B">
        <w:t xml:space="preserve"> http://www.jstor.org/stable/25023084</w:t>
      </w:r>
      <w:r>
        <w:t>.</w:t>
      </w:r>
    </w:p>
  </w:footnote>
  <w:footnote w:id="30">
    <w:p w:rsidR="007A32E1" w:rsidRDefault="007A32E1" w:rsidP="00FA564F">
      <w:pPr>
        <w:pStyle w:val="FootnoteText"/>
      </w:pPr>
      <w:r>
        <w:rPr>
          <w:rStyle w:val="FootnoteReference"/>
        </w:rPr>
        <w:footnoteRef/>
      </w:r>
      <w:r>
        <w:t xml:space="preserve"> Matthew 27:5 KJV.</w:t>
      </w:r>
    </w:p>
  </w:footnote>
  <w:footnote w:id="31">
    <w:p w:rsidR="007A32E1" w:rsidRDefault="007A32E1" w:rsidP="00FA564F">
      <w:pPr>
        <w:pStyle w:val="FootnoteText"/>
      </w:pPr>
      <w:r>
        <w:rPr>
          <w:rStyle w:val="FootnoteReference"/>
        </w:rPr>
        <w:footnoteRef/>
      </w:r>
      <w:r>
        <w:t xml:space="preserve"> Luke 10:37 KJV.</w:t>
      </w:r>
    </w:p>
  </w:footnote>
  <w:footnote w:id="32">
    <w:p w:rsidR="007A32E1" w:rsidRDefault="007A32E1" w:rsidP="00FA564F">
      <w:pPr>
        <w:pStyle w:val="FootnoteText"/>
      </w:pPr>
      <w:r>
        <w:rPr>
          <w:rStyle w:val="FootnoteReference"/>
        </w:rPr>
        <w:footnoteRef/>
      </w:r>
      <w:r>
        <w:t xml:space="preserve"> </w:t>
      </w:r>
      <w:bookmarkStart w:id="15" w:name="_Hlk521753536"/>
      <w:r w:rsidRPr="007A6AC4">
        <w:t xml:space="preserve">Rachel R Parker, "Shays' Rebellion: An Episode in American State-Making." </w:t>
      </w:r>
      <w:r w:rsidRPr="007A6AC4">
        <w:rPr>
          <w:i/>
          <w:iCs/>
        </w:rPr>
        <w:t>Sociological Perspectives</w:t>
      </w:r>
      <w:r w:rsidRPr="007A6AC4">
        <w:t xml:space="preserve"> 34, no. 1 </w:t>
      </w:r>
      <w:r>
        <w:t xml:space="preserve">(Spring 1991): </w:t>
      </w:r>
      <w:r w:rsidRPr="007A6AC4">
        <w:t>(</w:t>
      </w:r>
      <w:r>
        <w:t xml:space="preserve">Thousand Oaks: </w:t>
      </w:r>
      <w:r w:rsidRPr="007A6AC4">
        <w:t>Sage Publications, Inc.</w:t>
      </w:r>
      <w:r>
        <w:t>): 99,</w:t>
      </w:r>
      <w:r w:rsidRPr="007A6AC4">
        <w:t xml:space="preserve"> http://www.jstor.org/stable/1389145</w:t>
      </w:r>
      <w:bookmarkEnd w:id="15"/>
      <w:r>
        <w:t xml:space="preserve">. </w:t>
      </w:r>
      <w:r w:rsidRPr="00EE0916">
        <w:t>(Specie is any hard currency as opposed to paper money, often silver or gold.)</w:t>
      </w:r>
    </w:p>
  </w:footnote>
  <w:footnote w:id="33">
    <w:p w:rsidR="007A32E1" w:rsidRDefault="007A32E1" w:rsidP="00FA564F">
      <w:pPr>
        <w:pStyle w:val="FootnoteText"/>
      </w:pPr>
      <w:r>
        <w:rPr>
          <w:rStyle w:val="FootnoteReference"/>
        </w:rPr>
        <w:footnoteRef/>
      </w:r>
      <w:r>
        <w:t xml:space="preserve"> Ibid., 100.</w:t>
      </w:r>
    </w:p>
  </w:footnote>
  <w:footnote w:id="34">
    <w:p w:rsidR="007A32E1" w:rsidRDefault="007A32E1" w:rsidP="001D0FD4">
      <w:pPr>
        <w:pStyle w:val="FootnoteText"/>
      </w:pPr>
      <w:r>
        <w:rPr>
          <w:rStyle w:val="FootnoteReference"/>
        </w:rPr>
        <w:footnoteRef/>
      </w:r>
      <w:r>
        <w:t xml:space="preserve"> Ibid., 96.</w:t>
      </w:r>
    </w:p>
  </w:footnote>
  <w:footnote w:id="35">
    <w:p w:rsidR="007A32E1" w:rsidRDefault="007A32E1" w:rsidP="00FA564F">
      <w:pPr>
        <w:pStyle w:val="FootnoteText"/>
      </w:pPr>
      <w:r>
        <w:rPr>
          <w:rStyle w:val="FootnoteReference"/>
        </w:rPr>
        <w:footnoteRef/>
      </w:r>
      <w:r>
        <w:t xml:space="preserve"> Ibid., 96.</w:t>
      </w:r>
    </w:p>
  </w:footnote>
  <w:footnote w:id="36">
    <w:p w:rsidR="007A32E1" w:rsidRDefault="007A32E1" w:rsidP="00FA564F">
      <w:pPr>
        <w:pStyle w:val="FootnoteText"/>
      </w:pPr>
      <w:r>
        <w:rPr>
          <w:rStyle w:val="FootnoteReference"/>
        </w:rPr>
        <w:footnoteRef/>
      </w:r>
      <w:r>
        <w:t xml:space="preserve"> Ibid.,</w:t>
      </w:r>
      <w:r w:rsidRPr="007A6AC4">
        <w:t xml:space="preserve"> </w:t>
      </w:r>
      <w:r>
        <w:t>98.</w:t>
      </w:r>
    </w:p>
  </w:footnote>
  <w:footnote w:id="37">
    <w:p w:rsidR="007A32E1" w:rsidRDefault="007A32E1" w:rsidP="00FA564F">
      <w:pPr>
        <w:pStyle w:val="FootnoteText"/>
      </w:pPr>
      <w:r>
        <w:rPr>
          <w:rStyle w:val="FootnoteReference"/>
        </w:rPr>
        <w:footnoteRef/>
      </w:r>
      <w:r>
        <w:t xml:space="preserve"> James Madison, “</w:t>
      </w:r>
      <w:r w:rsidRPr="00416022">
        <w:t>Letter to George Washington, Nov. 8</w:t>
      </w:r>
      <w:r w:rsidRPr="00416022">
        <w:rPr>
          <w:vertAlign w:val="superscript"/>
        </w:rPr>
        <w:t>th</w:t>
      </w:r>
      <w:r w:rsidRPr="00416022">
        <w:t xml:space="preserve"> 1786</w:t>
      </w:r>
      <w:r>
        <w:t>,”</w:t>
      </w:r>
      <w:r w:rsidRPr="00776BD2">
        <w:rPr>
          <w:i/>
          <w:iCs/>
          <w:sz w:val="24"/>
          <w:szCs w:val="22"/>
        </w:rPr>
        <w:t xml:space="preserve"> </w:t>
      </w:r>
      <w:r w:rsidRPr="00776BD2">
        <w:rPr>
          <w:i/>
          <w:iCs/>
        </w:rPr>
        <w:t>The Writings of James Madison, comprising his Public Papers and his Private Correspondence, including his numerous letters and documents now for the first time printed.</w:t>
      </w:r>
      <w:r w:rsidRPr="00776BD2">
        <w:t xml:space="preserve"> ed. Gaillard Hunt. New York: G.P. Putnam’s Sons, 1900. 9 vols. Online from http://oll.libertyfund.org/titles/1933</w:t>
      </w:r>
      <w:r>
        <w:t>.</w:t>
      </w:r>
      <w:r w:rsidRPr="00E40EA9">
        <w:rPr>
          <w:sz w:val="24"/>
          <w:szCs w:val="22"/>
        </w:rPr>
        <w:t xml:space="preserve"> </w:t>
      </w:r>
      <w:r w:rsidR="003B753C">
        <w:t>H</w:t>
      </w:r>
      <w:r w:rsidRPr="00E40EA9">
        <w:t>ereafter identified as Writings</w:t>
      </w:r>
      <w:r w:rsidR="003B753C">
        <w:t>.</w:t>
      </w:r>
    </w:p>
  </w:footnote>
  <w:footnote w:id="38">
    <w:p w:rsidR="007A32E1" w:rsidRDefault="007A32E1" w:rsidP="00FA564F">
      <w:pPr>
        <w:pStyle w:val="FootnoteText"/>
      </w:pPr>
      <w:r>
        <w:rPr>
          <w:rStyle w:val="FootnoteReference"/>
        </w:rPr>
        <w:footnoteRef/>
      </w:r>
      <w:r>
        <w:t xml:space="preserve"> David Nordquest, “Madison and Philosophy: His Coursework and His Statesmanship,” </w:t>
      </w:r>
      <w:r w:rsidRPr="00416022">
        <w:rPr>
          <w:i/>
        </w:rPr>
        <w:t>James Madison: Philosopher, Founder, and Statesman.</w:t>
      </w:r>
      <w:r w:rsidRPr="00416022">
        <w:t xml:space="preserve"> eds. John R. Vile, William D. Pederson, and Frank J. Williams </w:t>
      </w:r>
      <w:r>
        <w:t>(</w:t>
      </w:r>
      <w:r w:rsidRPr="00416022">
        <w:t>Athens: Ohio University Press, 2008</w:t>
      </w:r>
      <w:r>
        <w:t>), 3-4.</w:t>
      </w:r>
    </w:p>
  </w:footnote>
  <w:footnote w:id="39">
    <w:p w:rsidR="007A32E1" w:rsidRDefault="007A32E1">
      <w:pPr>
        <w:pStyle w:val="FootnoteText"/>
      </w:pPr>
      <w:r>
        <w:rPr>
          <w:rStyle w:val="FootnoteReference"/>
        </w:rPr>
        <w:footnoteRef/>
      </w:r>
      <w:r>
        <w:t xml:space="preserve"> </w:t>
      </w:r>
      <w:r w:rsidRPr="001D0FD4">
        <w:t>Gaillard Hunt, writings, 1: xii-xiii. (see chap. 1, n. 8)</w:t>
      </w:r>
      <w:r w:rsidR="003B753C">
        <w:t>.</w:t>
      </w:r>
    </w:p>
  </w:footnote>
  <w:footnote w:id="40">
    <w:p w:rsidR="007A32E1" w:rsidRDefault="007A32E1" w:rsidP="00FA564F">
      <w:pPr>
        <w:pStyle w:val="FootnoteText"/>
      </w:pPr>
      <w:r>
        <w:rPr>
          <w:rStyle w:val="FootnoteReference"/>
        </w:rPr>
        <w:footnoteRef/>
      </w:r>
      <w:r>
        <w:t xml:space="preserve"> Ibid.</w:t>
      </w:r>
    </w:p>
  </w:footnote>
  <w:footnote w:id="41">
    <w:p w:rsidR="007A32E1" w:rsidRDefault="007A32E1" w:rsidP="00FA564F">
      <w:pPr>
        <w:pStyle w:val="FootnoteText"/>
      </w:pPr>
      <w:r>
        <w:rPr>
          <w:rStyle w:val="FootnoteReference"/>
        </w:rPr>
        <w:footnoteRef/>
      </w:r>
      <w:r>
        <w:t xml:space="preserve"> Ibid.</w:t>
      </w:r>
    </w:p>
  </w:footnote>
  <w:footnote w:id="42">
    <w:p w:rsidR="007A32E1" w:rsidRDefault="007A32E1" w:rsidP="00FA564F">
      <w:pPr>
        <w:pStyle w:val="FootnoteText"/>
      </w:pPr>
      <w:r>
        <w:rPr>
          <w:rStyle w:val="FootnoteReference"/>
        </w:rPr>
        <w:footnoteRef/>
      </w:r>
      <w:r>
        <w:t xml:space="preserve"> James Madison, </w:t>
      </w:r>
      <w:r w:rsidRPr="0013053A">
        <w:rPr>
          <w:i/>
        </w:rPr>
        <w:t xml:space="preserve">Letter </w:t>
      </w:r>
      <w:r>
        <w:rPr>
          <w:bCs/>
          <w:i/>
        </w:rPr>
        <w:t>t</w:t>
      </w:r>
      <w:r w:rsidRPr="0013053A">
        <w:rPr>
          <w:bCs/>
          <w:i/>
        </w:rPr>
        <w:t>o William Bradford, Jr.</w:t>
      </w:r>
      <w:r w:rsidRPr="00EE0916">
        <w:rPr>
          <w:b/>
          <w:bCs/>
        </w:rPr>
        <w:t xml:space="preserve"> </w:t>
      </w:r>
      <w:r w:rsidRPr="0013053A">
        <w:rPr>
          <w:bCs/>
        </w:rPr>
        <w:t>(</w:t>
      </w:r>
      <w:r w:rsidRPr="0013053A">
        <w:rPr>
          <w:bCs/>
          <w:i/>
          <w:iCs/>
        </w:rPr>
        <w:t>At the Coffee-House, Philadelphia—By the Post.</w:t>
      </w:r>
      <w:r w:rsidRPr="0013053A">
        <w:rPr>
          <w:bCs/>
        </w:rPr>
        <w:t>)</w:t>
      </w:r>
      <w:r>
        <w:rPr>
          <w:bCs/>
        </w:rPr>
        <w:t xml:space="preserve"> </w:t>
      </w:r>
      <w:r>
        <w:t xml:space="preserve">Writings 1:10. </w:t>
      </w:r>
      <w:r w:rsidRPr="00D80292">
        <w:t xml:space="preserve">(see chap. </w:t>
      </w:r>
      <w:r>
        <w:t>1</w:t>
      </w:r>
      <w:r w:rsidRPr="00D80292">
        <w:t>, n. 8)</w:t>
      </w:r>
      <w:r w:rsidR="003B753C">
        <w:t>.</w:t>
      </w:r>
    </w:p>
  </w:footnote>
  <w:footnote w:id="43">
    <w:p w:rsidR="007A32E1" w:rsidRDefault="007A32E1" w:rsidP="00FA564F">
      <w:pPr>
        <w:pStyle w:val="FootnoteText"/>
      </w:pPr>
      <w:r>
        <w:rPr>
          <w:rStyle w:val="FootnoteReference"/>
        </w:rPr>
        <w:footnoteRef/>
      </w:r>
      <w:r>
        <w:t xml:space="preserve"> </w:t>
      </w:r>
      <w:r w:rsidRPr="0076444E">
        <w:t xml:space="preserve">Gaillard Hunt, </w:t>
      </w:r>
      <w:r w:rsidRPr="0076444E">
        <w:rPr>
          <w:i/>
        </w:rPr>
        <w:t>The Life of James Madison</w:t>
      </w:r>
      <w:r w:rsidRPr="0076444E">
        <w:t xml:space="preserve"> (New York: Russell &amp; Russell, 1902), </w:t>
      </w:r>
      <w:r>
        <w:t>76.</w:t>
      </w:r>
    </w:p>
  </w:footnote>
  <w:footnote w:id="44">
    <w:p w:rsidR="007A32E1" w:rsidRDefault="007A32E1" w:rsidP="00FA564F">
      <w:pPr>
        <w:pStyle w:val="FootnoteText"/>
      </w:pPr>
      <w:r>
        <w:rPr>
          <w:rStyle w:val="FootnoteReference"/>
        </w:rPr>
        <w:footnoteRef/>
      </w:r>
      <w:r>
        <w:t xml:space="preserve"> James Madison, </w:t>
      </w:r>
      <w:r w:rsidRPr="0013053A">
        <w:rPr>
          <w:i/>
        </w:rPr>
        <w:t>Letter to Edmund Randolph, July 26, 1785</w:t>
      </w:r>
      <w:r>
        <w:t xml:space="preserve">, Writings, 2:154. </w:t>
      </w:r>
      <w:r w:rsidRPr="00AF69C0">
        <w:t>(see chap. 2, n. 8)</w:t>
      </w:r>
      <w:r w:rsidR="003B753C">
        <w:t>.</w:t>
      </w:r>
    </w:p>
  </w:footnote>
  <w:footnote w:id="45">
    <w:p w:rsidR="007A32E1" w:rsidRDefault="007A32E1" w:rsidP="00FA564F">
      <w:pPr>
        <w:pStyle w:val="FootnoteText"/>
      </w:pPr>
      <w:r>
        <w:rPr>
          <w:rStyle w:val="FootnoteReference"/>
        </w:rPr>
        <w:footnoteRef/>
      </w:r>
      <w:r>
        <w:t xml:space="preserve"> </w:t>
      </w:r>
      <w:r w:rsidRPr="0076444E">
        <w:t xml:space="preserve">Gaillard Hunt, </w:t>
      </w:r>
      <w:r w:rsidRPr="0076444E">
        <w:rPr>
          <w:i/>
        </w:rPr>
        <w:t>The Life of James Madison</w:t>
      </w:r>
      <w:r w:rsidRPr="0076444E">
        <w:t xml:space="preserve"> (New York: Russell &amp; Russell, 1902), </w:t>
      </w:r>
      <w:r>
        <w:t>75.</w:t>
      </w:r>
    </w:p>
  </w:footnote>
  <w:footnote w:id="46">
    <w:p w:rsidR="007A32E1" w:rsidRDefault="007A32E1" w:rsidP="00FA564F">
      <w:pPr>
        <w:pStyle w:val="FootnoteText"/>
      </w:pPr>
      <w:r>
        <w:rPr>
          <w:rStyle w:val="FootnoteReference"/>
        </w:rPr>
        <w:footnoteRef/>
      </w:r>
      <w:r>
        <w:t xml:space="preserve"> James Madison, “</w:t>
      </w:r>
      <w:r w:rsidRPr="004B4A8D">
        <w:t>Second Annual Message</w:t>
      </w:r>
      <w:r>
        <w:t>: December 5, 1810,”</w:t>
      </w:r>
      <w:r w:rsidRPr="004B4A8D">
        <w:t xml:space="preserve"> </w:t>
      </w:r>
      <w:r>
        <w:t xml:space="preserve">Writings 8:127. </w:t>
      </w:r>
      <w:r w:rsidRPr="004B4A8D">
        <w:t xml:space="preserve">(see chap. </w:t>
      </w:r>
      <w:r>
        <w:t>1</w:t>
      </w:r>
      <w:r w:rsidRPr="004B4A8D">
        <w:t>, n. 8)</w:t>
      </w:r>
      <w:r w:rsidR="003B753C">
        <w:t>.</w:t>
      </w:r>
    </w:p>
  </w:footnote>
  <w:footnote w:id="47">
    <w:p w:rsidR="007A32E1" w:rsidRDefault="007A32E1" w:rsidP="00FA564F">
      <w:pPr>
        <w:pStyle w:val="FootnoteText"/>
      </w:pPr>
      <w:r>
        <w:rPr>
          <w:rStyle w:val="FootnoteReference"/>
        </w:rPr>
        <w:footnoteRef/>
      </w:r>
      <w:r>
        <w:t xml:space="preserve"> </w:t>
      </w:r>
      <w:r w:rsidRPr="001B7678">
        <w:t xml:space="preserve">James Madison, </w:t>
      </w:r>
      <w:r w:rsidRPr="001B7678">
        <w:rPr>
          <w:i/>
        </w:rPr>
        <w:t xml:space="preserve">The Federalist Papers No. </w:t>
      </w:r>
      <w:r>
        <w:rPr>
          <w:i/>
        </w:rPr>
        <w:t>42</w:t>
      </w:r>
      <w:r w:rsidRPr="001B7678">
        <w:rPr>
          <w:i/>
        </w:rPr>
        <w:t xml:space="preserve">, </w:t>
      </w:r>
      <w:r w:rsidRPr="001B7678">
        <w:t>(New Haven: Lillian Goldman Law Library, 2008)</w:t>
      </w:r>
      <w:r>
        <w:t xml:space="preserve">: </w:t>
      </w:r>
      <w:r w:rsidRPr="001B7678">
        <w:t>http://avalon.law.yale.edu/subject_menus/fed.asp</w:t>
      </w:r>
      <w:r>
        <w:t>.</w:t>
      </w:r>
    </w:p>
  </w:footnote>
  <w:footnote w:id="48">
    <w:p w:rsidR="007A32E1" w:rsidRDefault="007A32E1" w:rsidP="00FA564F">
      <w:pPr>
        <w:pStyle w:val="FootnoteText"/>
      </w:pPr>
      <w:r>
        <w:rPr>
          <w:rStyle w:val="FootnoteReference"/>
        </w:rPr>
        <w:footnoteRef/>
      </w:r>
      <w:r>
        <w:t xml:space="preserve"> </w:t>
      </w:r>
      <w:r w:rsidRPr="0076444E">
        <w:t xml:space="preserve">Gaillard Hunt, </w:t>
      </w:r>
      <w:r w:rsidRPr="0076444E">
        <w:rPr>
          <w:i/>
        </w:rPr>
        <w:t>The Life of James Madison</w:t>
      </w:r>
      <w:r w:rsidRPr="0076444E">
        <w:t xml:space="preserve"> (New York: Russell &amp; Russell, 1902), </w:t>
      </w:r>
      <w:r>
        <w:t>72.</w:t>
      </w:r>
    </w:p>
  </w:footnote>
  <w:footnote w:id="49">
    <w:p w:rsidR="007A32E1" w:rsidRDefault="007A32E1" w:rsidP="00FA564F">
      <w:pPr>
        <w:pStyle w:val="FootnoteText"/>
      </w:pPr>
      <w:r>
        <w:rPr>
          <w:rStyle w:val="FootnoteReference"/>
        </w:rPr>
        <w:footnoteRef/>
      </w:r>
      <w:r>
        <w:t xml:space="preserve"> </w:t>
      </w:r>
      <w:r w:rsidRPr="001B7678">
        <w:t xml:space="preserve">Robert J Morgan, </w:t>
      </w:r>
      <w:r w:rsidRPr="001B7678">
        <w:rPr>
          <w:i/>
        </w:rPr>
        <w:t>James Madison on the Constitution and the Bill of Rights</w:t>
      </w:r>
      <w:r w:rsidRPr="001B7678">
        <w:t xml:space="preserve"> (New York: Greenwood Press, 1988),</w:t>
      </w:r>
      <w:r>
        <w:t xml:space="preserve"> 132.</w:t>
      </w:r>
    </w:p>
  </w:footnote>
  <w:footnote w:id="50">
    <w:p w:rsidR="007A32E1" w:rsidRDefault="007A32E1" w:rsidP="00FA564F">
      <w:pPr>
        <w:pStyle w:val="FootnoteText"/>
      </w:pPr>
      <w:r>
        <w:rPr>
          <w:rStyle w:val="FootnoteReference"/>
        </w:rPr>
        <w:footnoteRef/>
      </w:r>
      <w:r>
        <w:t xml:space="preserve"> James Madison, “Letter to Thomas Jefferson: October 17, 1787,” Writings, 5:271-2. </w:t>
      </w:r>
      <w:r w:rsidRPr="00AF69C0">
        <w:t xml:space="preserve">(see chap. </w:t>
      </w:r>
      <w:r>
        <w:t>1</w:t>
      </w:r>
      <w:r w:rsidRPr="00AF69C0">
        <w:t>, n. 8)</w:t>
      </w:r>
      <w:r w:rsidR="00ED72D2">
        <w:t>.</w:t>
      </w:r>
    </w:p>
  </w:footnote>
  <w:footnote w:id="51">
    <w:p w:rsidR="007A32E1" w:rsidRDefault="007A32E1" w:rsidP="00736ED5">
      <w:pPr>
        <w:pStyle w:val="FootnoteText"/>
      </w:pPr>
      <w:r>
        <w:rPr>
          <w:rStyle w:val="FootnoteReference"/>
        </w:rPr>
        <w:footnoteRef/>
      </w:r>
      <w:r>
        <w:t xml:space="preserve"> </w:t>
      </w:r>
      <w:r w:rsidRPr="00842007">
        <w:t xml:space="preserve">Eric T.  Kasper, </w:t>
      </w:r>
      <w:r w:rsidRPr="00842007">
        <w:rPr>
          <w:i/>
        </w:rPr>
        <w:t>To Secure the Liberty of the People: James Madison’s Bill of Rights and the Supreme Court’s Interpretation</w:t>
      </w:r>
      <w:r w:rsidRPr="00842007">
        <w:t xml:space="preserve"> (DeKalb: Northern Illinois University Press, 2010)</w:t>
      </w:r>
      <w:r>
        <w:t>, 33-38.</w:t>
      </w:r>
    </w:p>
  </w:footnote>
  <w:footnote w:id="52">
    <w:p w:rsidR="007A32E1" w:rsidRDefault="007A32E1" w:rsidP="00736ED5">
      <w:pPr>
        <w:pStyle w:val="FootnoteText"/>
      </w:pPr>
      <w:r>
        <w:rPr>
          <w:rStyle w:val="FootnoteReference"/>
        </w:rPr>
        <w:footnoteRef/>
      </w:r>
      <w:r>
        <w:t xml:space="preserve"> Ibid.,</w:t>
      </w:r>
      <w:r w:rsidRPr="00842007">
        <w:t xml:space="preserve"> </w:t>
      </w:r>
      <w:r>
        <w:t>33.</w:t>
      </w:r>
    </w:p>
  </w:footnote>
  <w:footnote w:id="53">
    <w:p w:rsidR="007A32E1" w:rsidRDefault="007A32E1" w:rsidP="00C203BD">
      <w:pPr>
        <w:pStyle w:val="FootnoteText"/>
      </w:pPr>
      <w:r>
        <w:rPr>
          <w:rStyle w:val="FootnoteReference"/>
        </w:rPr>
        <w:footnoteRef/>
      </w:r>
      <w:r>
        <w:t xml:space="preserve"> </w:t>
      </w:r>
      <w:r w:rsidRPr="00F0278E">
        <w:t>John Witherspoon and Thomas Miller</w:t>
      </w:r>
      <w:r>
        <w:t>,</w:t>
      </w:r>
      <w:r w:rsidRPr="00F0278E">
        <w:t xml:space="preserve"> </w:t>
      </w:r>
      <w:r w:rsidRPr="00F0278E">
        <w:rPr>
          <w:i/>
          <w:iCs/>
        </w:rPr>
        <w:t>The selected writings of John Witherspoon</w:t>
      </w:r>
      <w:r w:rsidRPr="00F0278E">
        <w:t xml:space="preserve"> </w:t>
      </w:r>
      <w:r>
        <w:t>(</w:t>
      </w:r>
      <w:r w:rsidRPr="00F0278E">
        <w:t>Carbondale: Southern Illinois University Press, 1990</w:t>
      </w:r>
      <w:r>
        <w:t>), 191.</w:t>
      </w:r>
    </w:p>
  </w:footnote>
  <w:footnote w:id="54">
    <w:p w:rsidR="007A32E1" w:rsidRDefault="007A32E1" w:rsidP="00C203BD">
      <w:pPr>
        <w:pStyle w:val="FootnoteText"/>
      </w:pPr>
      <w:r>
        <w:rPr>
          <w:rStyle w:val="FootnoteReference"/>
        </w:rPr>
        <w:footnoteRef/>
      </w:r>
      <w:r>
        <w:t xml:space="preserve"> Ibid.,</w:t>
      </w:r>
      <w:r w:rsidRPr="000401C6">
        <w:t xml:space="preserve"> </w:t>
      </w:r>
      <w:r>
        <w:t>189.</w:t>
      </w:r>
    </w:p>
  </w:footnote>
  <w:footnote w:id="55">
    <w:p w:rsidR="007A32E1" w:rsidRDefault="007A32E1" w:rsidP="00C203BD">
      <w:pPr>
        <w:pStyle w:val="FootnoteText"/>
      </w:pPr>
      <w:r>
        <w:rPr>
          <w:rStyle w:val="FootnoteReference"/>
        </w:rPr>
        <w:footnoteRef/>
      </w:r>
      <w:r>
        <w:t xml:space="preserve"> James Madison, “Property” Writings 6:101-3. </w:t>
      </w:r>
      <w:r w:rsidRPr="000401C6">
        <w:t xml:space="preserve">(see chap. </w:t>
      </w:r>
      <w:r>
        <w:t>1</w:t>
      </w:r>
      <w:r w:rsidRPr="000401C6">
        <w:t>, n. 8)</w:t>
      </w:r>
      <w:r>
        <w:t>.</w:t>
      </w:r>
    </w:p>
  </w:footnote>
  <w:footnote w:id="56">
    <w:p w:rsidR="007A32E1" w:rsidRDefault="007A32E1" w:rsidP="00C203BD">
      <w:pPr>
        <w:pStyle w:val="FootnoteText"/>
      </w:pPr>
      <w:r>
        <w:rPr>
          <w:rStyle w:val="FootnoteReference"/>
        </w:rPr>
        <w:footnoteRef/>
      </w:r>
      <w:r>
        <w:t xml:space="preserve"> </w:t>
      </w:r>
      <w:bookmarkStart w:id="16" w:name="_Hlk521610769"/>
      <w:r w:rsidRPr="00F6135D">
        <w:t xml:space="preserve">John Locke, </w:t>
      </w:r>
      <w:r w:rsidRPr="00F6135D">
        <w:rPr>
          <w:i/>
        </w:rPr>
        <w:t>Two Treatise of Government and A Letter Concerning Toleration</w:t>
      </w:r>
      <w:r w:rsidRPr="00F6135D">
        <w:t xml:space="preserve"> </w:t>
      </w:r>
      <w:r>
        <w:t>(</w:t>
      </w:r>
      <w:r w:rsidRPr="00F6135D">
        <w:t>Lexington: Digireads.com Publishing, 2015</w:t>
      </w:r>
      <w:r>
        <w:t xml:space="preserve">), </w:t>
      </w:r>
      <w:bookmarkEnd w:id="16"/>
      <w:r>
        <w:t>101.</w:t>
      </w:r>
    </w:p>
  </w:footnote>
  <w:footnote w:id="57">
    <w:p w:rsidR="007A32E1" w:rsidRDefault="007A32E1">
      <w:pPr>
        <w:pStyle w:val="FootnoteText"/>
      </w:pPr>
      <w:r w:rsidRPr="00D615B4">
        <w:rPr>
          <w:rStyle w:val="FootnoteReference"/>
        </w:rPr>
        <w:footnoteRef/>
      </w:r>
      <w:r w:rsidRPr="00D615B4">
        <w:t xml:space="preserve"> Ibid., 102</w:t>
      </w:r>
      <w:r>
        <w:t>.</w:t>
      </w:r>
    </w:p>
  </w:footnote>
  <w:footnote w:id="58">
    <w:p w:rsidR="007A32E1" w:rsidRDefault="007A32E1" w:rsidP="00736ED5">
      <w:pPr>
        <w:pStyle w:val="FootnoteText"/>
      </w:pPr>
      <w:r>
        <w:rPr>
          <w:rStyle w:val="FootnoteReference"/>
        </w:rPr>
        <w:footnoteRef/>
      </w:r>
      <w:r>
        <w:t xml:space="preserve"> </w:t>
      </w:r>
      <w:r w:rsidRPr="00842007">
        <w:t xml:space="preserve">Eric T.  Kasper, </w:t>
      </w:r>
      <w:r w:rsidRPr="00842007">
        <w:rPr>
          <w:i/>
        </w:rPr>
        <w:t>To Secure the Liberty of the People: James Madison’s Bill of Rights and the Supreme Court’s Interpretation</w:t>
      </w:r>
      <w:r w:rsidRPr="00842007">
        <w:t xml:space="preserve"> (DeKalb: Northern Illinois University Press, 2010), </w:t>
      </w:r>
      <w:r>
        <w:t>38</w:t>
      </w:r>
      <w:r w:rsidR="00ED72D2">
        <w:t>.</w:t>
      </w:r>
    </w:p>
  </w:footnote>
  <w:footnote w:id="59">
    <w:p w:rsidR="007A32E1" w:rsidRDefault="007A32E1" w:rsidP="00736ED5">
      <w:pPr>
        <w:pStyle w:val="FootnoteText"/>
      </w:pPr>
      <w:r>
        <w:rPr>
          <w:rStyle w:val="FootnoteReference"/>
        </w:rPr>
        <w:footnoteRef/>
      </w:r>
      <w:r>
        <w:t xml:space="preserve"> </w:t>
      </w:r>
      <w:r w:rsidRPr="005B7953">
        <w:t xml:space="preserve">John Locke, </w:t>
      </w:r>
      <w:r w:rsidRPr="005B7953">
        <w:rPr>
          <w:i/>
        </w:rPr>
        <w:t>Two Treatise of Government and A Letter Concerning Toleration</w:t>
      </w:r>
      <w:r w:rsidRPr="005B7953">
        <w:t xml:space="preserve"> (Lexington: Digireads.com Publishing, 2015), </w:t>
      </w:r>
      <w:r>
        <w:t>112.</w:t>
      </w:r>
    </w:p>
  </w:footnote>
  <w:footnote w:id="60">
    <w:p w:rsidR="007A32E1" w:rsidRDefault="007A32E1" w:rsidP="00736ED5">
      <w:pPr>
        <w:pStyle w:val="FootnoteText"/>
      </w:pPr>
      <w:r>
        <w:rPr>
          <w:rStyle w:val="FootnoteReference"/>
        </w:rPr>
        <w:footnoteRef/>
      </w:r>
      <w:r>
        <w:t xml:space="preserve"> Ibid.,</w:t>
      </w:r>
      <w:r w:rsidRPr="005B7953">
        <w:t xml:space="preserve"> </w:t>
      </w:r>
      <w:r>
        <w:t>118.</w:t>
      </w:r>
    </w:p>
  </w:footnote>
  <w:footnote w:id="61">
    <w:p w:rsidR="007A32E1" w:rsidRDefault="007A32E1" w:rsidP="00736ED5">
      <w:pPr>
        <w:pStyle w:val="FootnoteText"/>
      </w:pPr>
      <w:r>
        <w:rPr>
          <w:rStyle w:val="FootnoteReference"/>
        </w:rPr>
        <w:footnoteRef/>
      </w:r>
      <w:r>
        <w:t xml:space="preserve"> Ibid.,</w:t>
      </w:r>
      <w:r w:rsidRPr="005B7953">
        <w:t xml:space="preserve"> </w:t>
      </w:r>
      <w:r>
        <w:t>152.</w:t>
      </w:r>
    </w:p>
  </w:footnote>
  <w:footnote w:id="62">
    <w:p w:rsidR="007A32E1" w:rsidRDefault="007A32E1" w:rsidP="003304D7">
      <w:pPr>
        <w:pStyle w:val="FootnoteText"/>
      </w:pPr>
      <w:r>
        <w:rPr>
          <w:rStyle w:val="FootnoteReference"/>
        </w:rPr>
        <w:footnoteRef/>
      </w:r>
      <w:r>
        <w:t xml:space="preserve"> </w:t>
      </w:r>
      <w:r w:rsidRPr="000401C6">
        <w:t xml:space="preserve">John Witherspoon and Thomas Miller, </w:t>
      </w:r>
      <w:r w:rsidRPr="000401C6">
        <w:rPr>
          <w:i/>
          <w:iCs/>
        </w:rPr>
        <w:t>The selected writings of John Witherspoon</w:t>
      </w:r>
      <w:r w:rsidRPr="000401C6">
        <w:t xml:space="preserve"> (Carbondale: Southern Illinois University Press, 1990),</w:t>
      </w:r>
      <w:r>
        <w:t xml:space="preserve"> 190.</w:t>
      </w:r>
    </w:p>
  </w:footnote>
  <w:footnote w:id="63">
    <w:p w:rsidR="007A32E1" w:rsidRDefault="007A32E1" w:rsidP="00C203BD">
      <w:pPr>
        <w:pStyle w:val="FootnoteText"/>
      </w:pPr>
      <w:r>
        <w:rPr>
          <w:rStyle w:val="FootnoteReference"/>
        </w:rPr>
        <w:footnoteRef/>
      </w:r>
      <w:r>
        <w:t xml:space="preserve"> James Madison, “</w:t>
      </w:r>
      <w:r w:rsidRPr="00AF69C0">
        <w:t>Independence and Constitution of Virginia</w:t>
      </w:r>
      <w:r>
        <w:t>,”</w:t>
      </w:r>
      <w:r w:rsidRPr="00AF69C0">
        <w:t xml:space="preserve"> </w:t>
      </w:r>
      <w:r>
        <w:t xml:space="preserve">Writings 1:35. </w:t>
      </w:r>
      <w:bookmarkStart w:id="17" w:name="_Hlk522989395"/>
      <w:r w:rsidRPr="00AF69C0">
        <w:t xml:space="preserve">(see chap. </w:t>
      </w:r>
      <w:r>
        <w:t>1</w:t>
      </w:r>
      <w:r w:rsidRPr="00AF69C0">
        <w:t>, n. 8)</w:t>
      </w:r>
      <w:bookmarkEnd w:id="17"/>
      <w:r>
        <w:t>.</w:t>
      </w:r>
    </w:p>
  </w:footnote>
  <w:footnote w:id="64">
    <w:p w:rsidR="007A32E1" w:rsidRDefault="007A32E1" w:rsidP="00736ED5">
      <w:pPr>
        <w:pStyle w:val="FootnoteText"/>
      </w:pPr>
      <w:r>
        <w:rPr>
          <w:rStyle w:val="FootnoteReference"/>
        </w:rPr>
        <w:footnoteRef/>
      </w:r>
      <w:r>
        <w:t xml:space="preserve"> </w:t>
      </w:r>
      <w:r w:rsidRPr="00711559">
        <w:t xml:space="preserve">Robert J Morgan, </w:t>
      </w:r>
      <w:r w:rsidRPr="00711559">
        <w:rPr>
          <w:i/>
        </w:rPr>
        <w:t>James Madison on the Constitution and the Bill of Rights</w:t>
      </w:r>
      <w:r w:rsidRPr="00711559">
        <w:t xml:space="preserve"> (New York: Greenwood Press, 1988),</w:t>
      </w:r>
      <w:r>
        <w:t xml:space="preserve"> 149.</w:t>
      </w:r>
    </w:p>
  </w:footnote>
  <w:footnote w:id="65">
    <w:p w:rsidR="007A32E1" w:rsidRDefault="007A32E1" w:rsidP="00736ED5">
      <w:pPr>
        <w:pStyle w:val="FootnoteText"/>
      </w:pPr>
      <w:r>
        <w:rPr>
          <w:rStyle w:val="FootnoteReference"/>
        </w:rPr>
        <w:footnoteRef/>
      </w:r>
      <w:r>
        <w:t xml:space="preserve"> James Madison, “Property,” Writings 6:101-2. </w:t>
      </w:r>
      <w:r w:rsidRPr="00AF69C0">
        <w:t xml:space="preserve">(see chap. </w:t>
      </w:r>
      <w:r>
        <w:t>1</w:t>
      </w:r>
      <w:r w:rsidRPr="00AF69C0">
        <w:t>, n. 8)</w:t>
      </w:r>
      <w:r>
        <w:t>.</w:t>
      </w:r>
    </w:p>
  </w:footnote>
  <w:footnote w:id="66">
    <w:p w:rsidR="007A32E1" w:rsidRDefault="007A32E1" w:rsidP="006A5784">
      <w:pPr>
        <w:pStyle w:val="FootnoteText"/>
      </w:pPr>
      <w:r>
        <w:rPr>
          <w:rStyle w:val="FootnoteReference"/>
        </w:rPr>
        <w:footnoteRef/>
      </w:r>
      <w:r>
        <w:t xml:space="preserve"> James Madison, </w:t>
      </w:r>
      <w:r w:rsidRPr="001B189E">
        <w:rPr>
          <w:i/>
        </w:rPr>
        <w:t xml:space="preserve">The Federalist Papers No. </w:t>
      </w:r>
      <w:r>
        <w:rPr>
          <w:i/>
        </w:rPr>
        <w:t>39</w:t>
      </w:r>
      <w:r w:rsidRPr="001B189E">
        <w:rPr>
          <w:i/>
        </w:rPr>
        <w:t xml:space="preserve">, </w:t>
      </w:r>
      <w:r w:rsidRPr="001B189E">
        <w:t>(New Haven: Lillian Goldman Law Library, 2008)</w:t>
      </w:r>
      <w:r>
        <w:t xml:space="preserve">: </w:t>
      </w:r>
      <w:r w:rsidRPr="001B189E">
        <w:t>http://avalon.law.yale.edu/subject_menus/fed.asp</w:t>
      </w:r>
      <w:r>
        <w:t>.</w:t>
      </w:r>
    </w:p>
  </w:footnote>
  <w:footnote w:id="67">
    <w:p w:rsidR="007A32E1" w:rsidRDefault="007A32E1" w:rsidP="006A5784">
      <w:pPr>
        <w:pStyle w:val="FootnoteText"/>
      </w:pPr>
      <w:r>
        <w:rPr>
          <w:rStyle w:val="FootnoteReference"/>
        </w:rPr>
        <w:footnoteRef/>
      </w:r>
      <w:r>
        <w:t xml:space="preserve"> </w:t>
      </w:r>
      <w:bookmarkStart w:id="18" w:name="_Hlk523587149"/>
      <w:r w:rsidRPr="00233DBB">
        <w:t xml:space="preserve">James Madison, </w:t>
      </w:r>
      <w:r w:rsidRPr="00233DBB">
        <w:rPr>
          <w:i/>
        </w:rPr>
        <w:t xml:space="preserve">The Federalist Papers No. </w:t>
      </w:r>
      <w:r>
        <w:rPr>
          <w:i/>
        </w:rPr>
        <w:t>10</w:t>
      </w:r>
      <w:r w:rsidRPr="00233DBB">
        <w:rPr>
          <w:i/>
        </w:rPr>
        <w:t xml:space="preserve">, </w:t>
      </w:r>
      <w:r w:rsidRPr="00233DBB">
        <w:t>(New Haven: Lillian Goldman Law Library, 2008)</w:t>
      </w:r>
      <w:r>
        <w:t xml:space="preserve">: </w:t>
      </w:r>
      <w:r w:rsidRPr="00233DBB">
        <w:t>http://avalon.law.yale.edu/subject_menus/fed.asp</w:t>
      </w:r>
      <w:r>
        <w:t>.</w:t>
      </w:r>
    </w:p>
    <w:bookmarkEnd w:id="18"/>
  </w:footnote>
  <w:footnote w:id="68">
    <w:p w:rsidR="007A32E1" w:rsidRDefault="007A32E1" w:rsidP="006A5784">
      <w:pPr>
        <w:pStyle w:val="FootnoteText"/>
      </w:pPr>
      <w:r>
        <w:rPr>
          <w:rStyle w:val="FootnoteReference"/>
        </w:rPr>
        <w:footnoteRef/>
      </w:r>
      <w:r>
        <w:t xml:space="preserve"> Ibid.</w:t>
      </w:r>
    </w:p>
  </w:footnote>
  <w:footnote w:id="69">
    <w:p w:rsidR="007A32E1" w:rsidRPr="0088126A" w:rsidRDefault="007A32E1" w:rsidP="006A5784">
      <w:pPr>
        <w:pStyle w:val="FootnoteText"/>
      </w:pPr>
      <w:r>
        <w:rPr>
          <w:rStyle w:val="FootnoteReference"/>
        </w:rPr>
        <w:footnoteRef/>
      </w:r>
      <w:r>
        <w:t xml:space="preserve"> Ibid.</w:t>
      </w:r>
    </w:p>
  </w:footnote>
  <w:footnote w:id="70">
    <w:p w:rsidR="007A32E1" w:rsidRDefault="007A32E1" w:rsidP="006A5784">
      <w:pPr>
        <w:pStyle w:val="FootnoteText"/>
      </w:pPr>
      <w:r>
        <w:rPr>
          <w:rStyle w:val="FootnoteReference"/>
        </w:rPr>
        <w:footnoteRef/>
      </w:r>
      <w:r>
        <w:t xml:space="preserve"> </w:t>
      </w:r>
      <w:r w:rsidRPr="004549E5">
        <w:t>Marc M Arkin, "The Intractable Principle: David Hume, James Madison, Religion, and the Tenth Federalist.” The American Journal of Legal History, Vol. 39, No. 2 (Apr., 1995) (Oxford University Press)</w:t>
      </w:r>
      <w:r>
        <w:t>:</w:t>
      </w:r>
      <w:r w:rsidRPr="000C1C52">
        <w:t xml:space="preserve"> 148</w:t>
      </w:r>
      <w:r>
        <w:t>,</w:t>
      </w:r>
      <w:r w:rsidRPr="004549E5">
        <w:t xml:space="preserve"> https://www.jstor.org/stable/845899</w:t>
      </w:r>
      <w:r>
        <w:t>.</w:t>
      </w:r>
    </w:p>
  </w:footnote>
  <w:footnote w:id="71">
    <w:p w:rsidR="007A32E1" w:rsidRDefault="007A32E1" w:rsidP="006A5784">
      <w:pPr>
        <w:pStyle w:val="FootnoteText"/>
      </w:pPr>
      <w:r>
        <w:rPr>
          <w:rStyle w:val="FootnoteReference"/>
        </w:rPr>
        <w:footnoteRef/>
      </w:r>
      <w:r>
        <w:t xml:space="preserve"> </w:t>
      </w:r>
      <w:r w:rsidRPr="001B7678">
        <w:t xml:space="preserve">James Madison, </w:t>
      </w:r>
      <w:r w:rsidRPr="001B7678">
        <w:rPr>
          <w:i/>
        </w:rPr>
        <w:t xml:space="preserve">The Federalist Papers No. 10, </w:t>
      </w:r>
      <w:r w:rsidRPr="001B7678">
        <w:t>(New Haven: Lillian Goldman Law Library, 2008)</w:t>
      </w:r>
      <w:r>
        <w:t xml:space="preserve">: </w:t>
      </w:r>
      <w:r w:rsidRPr="001B7678">
        <w:t>http://avalon.law.yale.edu/subject_menus/fed.asp</w:t>
      </w:r>
      <w:r>
        <w:t>.</w:t>
      </w:r>
    </w:p>
  </w:footnote>
  <w:footnote w:id="72">
    <w:p w:rsidR="007A32E1" w:rsidRDefault="007A32E1" w:rsidP="006A5784">
      <w:pPr>
        <w:pStyle w:val="FootnoteText"/>
      </w:pPr>
      <w:r>
        <w:rPr>
          <w:rStyle w:val="FootnoteReference"/>
        </w:rPr>
        <w:footnoteRef/>
      </w:r>
      <w:r>
        <w:t xml:space="preserve"> Ibid.</w:t>
      </w:r>
    </w:p>
  </w:footnote>
  <w:footnote w:id="73">
    <w:p w:rsidR="007A32E1" w:rsidRDefault="007A32E1" w:rsidP="006A5784">
      <w:pPr>
        <w:pStyle w:val="FootnoteText"/>
      </w:pPr>
      <w:r>
        <w:rPr>
          <w:rStyle w:val="FootnoteReference"/>
        </w:rPr>
        <w:footnoteRef/>
      </w:r>
      <w:r w:rsidRPr="0088126A">
        <w:t xml:space="preserve"> Marc M Arkin, "The Intractable Principle: David Hume, James Madison, Religion, and the Tenth Federalist.” The American Journal of Legal History, Vol. 39, No. 2 (Apr., 1995), 148 (Oxford University Press)</w:t>
      </w:r>
      <w:r>
        <w:t>: 151,</w:t>
      </w:r>
      <w:r w:rsidRPr="0088126A">
        <w:t xml:space="preserve"> https://www.jstor.org/stable/845899</w:t>
      </w:r>
      <w:r>
        <w:t>.</w:t>
      </w:r>
    </w:p>
  </w:footnote>
  <w:footnote w:id="74">
    <w:p w:rsidR="007A32E1" w:rsidRDefault="007A32E1" w:rsidP="006A5784">
      <w:pPr>
        <w:pStyle w:val="FootnoteText"/>
      </w:pPr>
      <w:r>
        <w:rPr>
          <w:rStyle w:val="FootnoteReference"/>
        </w:rPr>
        <w:footnoteRef/>
      </w:r>
      <w:r>
        <w:t xml:space="preserve"> </w:t>
      </w:r>
      <w:bookmarkStart w:id="20" w:name="_Hlk522996416"/>
      <w:r w:rsidRPr="0088126A">
        <w:t xml:space="preserve">James Madison, </w:t>
      </w:r>
      <w:r w:rsidRPr="004B4A8D">
        <w:rPr>
          <w:i/>
        </w:rPr>
        <w:t>The Federalist Papers</w:t>
      </w:r>
      <w:r>
        <w:rPr>
          <w:i/>
        </w:rPr>
        <w:t xml:space="preserve"> No.</w:t>
      </w:r>
      <w:r w:rsidRPr="004B4A8D">
        <w:rPr>
          <w:i/>
        </w:rPr>
        <w:t xml:space="preserve"> 10</w:t>
      </w:r>
      <w:r>
        <w:rPr>
          <w:i/>
        </w:rPr>
        <w:t>,</w:t>
      </w:r>
      <w:r w:rsidRPr="004B4A8D">
        <w:rPr>
          <w:i/>
        </w:rPr>
        <w:t xml:space="preserve"> </w:t>
      </w:r>
      <w:r>
        <w:t>(</w:t>
      </w:r>
      <w:r w:rsidRPr="004B4A8D">
        <w:t>New Haven: Lillian Goldman Law Library, 2008</w:t>
      </w:r>
      <w:r>
        <w:t xml:space="preserve">): </w:t>
      </w:r>
      <w:r w:rsidRPr="004B4A8D">
        <w:t>http://avalon.law.yale.edu/subject_menus/fed.asp</w:t>
      </w:r>
      <w:bookmarkEnd w:id="20"/>
      <w:r>
        <w:t>.</w:t>
      </w:r>
    </w:p>
  </w:footnote>
  <w:footnote w:id="75">
    <w:p w:rsidR="007A32E1" w:rsidRDefault="007A32E1" w:rsidP="006A5784">
      <w:pPr>
        <w:pStyle w:val="FootnoteText"/>
      </w:pPr>
      <w:r>
        <w:rPr>
          <w:rStyle w:val="FootnoteReference"/>
        </w:rPr>
        <w:footnoteRef/>
      </w:r>
      <w:r>
        <w:t xml:space="preserve"> </w:t>
      </w:r>
      <w:r w:rsidRPr="0088126A">
        <w:t xml:space="preserve"> Marc M Arkin, "The Intractable Principle: David Hume, James Madison, Religion, and the Tenth Federalist.” The American Journal of Legal History, Vol. 39, No. 2 (Apr., 1995), 148 (Oxford University Press)</w:t>
      </w:r>
      <w:r>
        <w:t>: 152,</w:t>
      </w:r>
      <w:r w:rsidRPr="0088126A">
        <w:t xml:space="preserve"> https://www.jstor.org/stable/845899</w:t>
      </w:r>
      <w:r>
        <w:t>.</w:t>
      </w:r>
    </w:p>
  </w:footnote>
  <w:footnote w:id="76">
    <w:p w:rsidR="007A32E1" w:rsidRDefault="007A32E1" w:rsidP="006A5784">
      <w:pPr>
        <w:pStyle w:val="FootnoteText"/>
      </w:pPr>
      <w:r>
        <w:rPr>
          <w:rStyle w:val="FootnoteReference"/>
        </w:rPr>
        <w:footnoteRef/>
      </w:r>
      <w:r>
        <w:t xml:space="preserve"> </w:t>
      </w:r>
      <w:r w:rsidRPr="007419D6">
        <w:t xml:space="preserve">James Madison, </w:t>
      </w:r>
      <w:r w:rsidRPr="007419D6">
        <w:rPr>
          <w:i/>
        </w:rPr>
        <w:t xml:space="preserve">The Federalist Papers No. 10, </w:t>
      </w:r>
      <w:r w:rsidRPr="007419D6">
        <w:t>(New Haven: Lillian Goldman Law Library, 2008)</w:t>
      </w:r>
      <w:r>
        <w:t xml:space="preserve">: </w:t>
      </w:r>
      <w:r w:rsidRPr="007419D6">
        <w:t>http://avalon.law.yale.edu/subject_menus/fed.asp</w:t>
      </w:r>
      <w:r>
        <w:t>.</w:t>
      </w:r>
    </w:p>
  </w:footnote>
  <w:footnote w:id="77">
    <w:p w:rsidR="007A32E1" w:rsidRDefault="007A32E1" w:rsidP="00BF5354">
      <w:pPr>
        <w:pStyle w:val="FootnoteText"/>
      </w:pPr>
      <w:r>
        <w:rPr>
          <w:rStyle w:val="FootnoteReference"/>
        </w:rPr>
        <w:footnoteRef/>
      </w:r>
      <w:r>
        <w:t xml:space="preserve"> Craig Grau, </w:t>
      </w:r>
      <w:r w:rsidRPr="00460261">
        <w:t xml:space="preserve">“More Than an Intellectual Scribe: The Political Drives and Traits of James Madison.” </w:t>
      </w:r>
      <w:r w:rsidRPr="00460261">
        <w:rPr>
          <w:i/>
        </w:rPr>
        <w:t>James Madison: Philosopher, Founder, and Statesman.</w:t>
      </w:r>
      <w:r w:rsidRPr="00460261">
        <w:t xml:space="preserve"> eds. John R. Vile, William D. Pederson, and Frank J. Williams (Athens: Ohio University Press, 2008),</w:t>
      </w:r>
      <w:r>
        <w:t xml:space="preserve"> 25.</w:t>
      </w:r>
    </w:p>
  </w:footnote>
  <w:footnote w:id="78">
    <w:p w:rsidR="007A32E1" w:rsidRPr="0029730A" w:rsidRDefault="007A32E1" w:rsidP="00BF5354">
      <w:pPr>
        <w:pStyle w:val="FootnoteText"/>
      </w:pPr>
      <w:r>
        <w:rPr>
          <w:rStyle w:val="FootnoteReference"/>
        </w:rPr>
        <w:footnoteRef/>
      </w:r>
      <w:r>
        <w:t xml:space="preserve"> </w:t>
      </w:r>
      <w:bookmarkStart w:id="21" w:name="_Hlk522993895"/>
      <w:r>
        <w:t xml:space="preserve">Lewis Peyton Little, </w:t>
      </w:r>
      <w:r w:rsidRPr="0029730A">
        <w:rPr>
          <w:i/>
        </w:rPr>
        <w:t>Imprisoned preachers and religious liberty in Virginia, a narrative drawn largely from the official records of Virginia counties, unpublished manuscripts, letters, and other original sources</w:t>
      </w:r>
      <w:r>
        <w:t>, (</w:t>
      </w:r>
      <w:r w:rsidRPr="0029730A">
        <w:t>Lynchburg</w:t>
      </w:r>
      <w:r>
        <w:t>:</w:t>
      </w:r>
      <w:r w:rsidRPr="0029730A">
        <w:t xml:space="preserve"> J. P. Bell</w:t>
      </w:r>
      <w:r>
        <w:t>,</w:t>
      </w:r>
      <w:r w:rsidRPr="0029730A">
        <w:t xml:space="preserve"> 1938</w:t>
      </w:r>
      <w:r>
        <w:t xml:space="preserve">): 192, </w:t>
      </w:r>
      <w:r w:rsidRPr="0029730A">
        <w:t>https://babel.hathitrust.org/cgi/pt?id=mdp.39015047782829;view=1up;seq=153</w:t>
      </w:r>
      <w:r>
        <w:t xml:space="preserve">. </w:t>
      </w:r>
      <w:bookmarkEnd w:id="21"/>
    </w:p>
  </w:footnote>
  <w:footnote w:id="79">
    <w:p w:rsidR="007A32E1" w:rsidRDefault="007A32E1" w:rsidP="00BF5354">
      <w:pPr>
        <w:pStyle w:val="FootnoteText"/>
      </w:pPr>
      <w:r>
        <w:rPr>
          <w:rStyle w:val="FootnoteReference"/>
        </w:rPr>
        <w:footnoteRef/>
      </w:r>
      <w:r>
        <w:t xml:space="preserve"> Ibid.,</w:t>
      </w:r>
      <w:r w:rsidRPr="00607EE0">
        <w:t xml:space="preserve"> </w:t>
      </w:r>
      <w:r>
        <w:t>95</w:t>
      </w:r>
      <w:r w:rsidRPr="00607EE0">
        <w:t>.</w:t>
      </w:r>
    </w:p>
  </w:footnote>
  <w:footnote w:id="80">
    <w:p w:rsidR="007A32E1" w:rsidRDefault="007A32E1" w:rsidP="00BF5354">
      <w:pPr>
        <w:pStyle w:val="FootnoteText"/>
      </w:pPr>
      <w:r>
        <w:rPr>
          <w:rStyle w:val="FootnoteReference"/>
        </w:rPr>
        <w:footnoteRef/>
      </w:r>
      <w:r>
        <w:t xml:space="preserve"> James Madison, “Letter to William Bradford: January 24,1774, Writings 1:21. </w:t>
      </w:r>
      <w:r w:rsidRPr="00460261">
        <w:t xml:space="preserve">(see chap. </w:t>
      </w:r>
      <w:r>
        <w:t>1</w:t>
      </w:r>
      <w:r w:rsidRPr="00460261">
        <w:t>, n. 8)</w:t>
      </w:r>
      <w:r w:rsidR="00ED72D2">
        <w:t>.</w:t>
      </w:r>
    </w:p>
  </w:footnote>
  <w:footnote w:id="81">
    <w:p w:rsidR="007A32E1" w:rsidRDefault="007A32E1" w:rsidP="00DE1667">
      <w:pPr>
        <w:pStyle w:val="FootnoteText"/>
      </w:pPr>
      <w:r>
        <w:rPr>
          <w:rStyle w:val="FootnoteReference"/>
        </w:rPr>
        <w:footnoteRef/>
      </w:r>
      <w:r>
        <w:t xml:space="preserve"> Ibid., 1:20. </w:t>
      </w:r>
      <w:r w:rsidRPr="004549E5">
        <w:t xml:space="preserve">(see chap. </w:t>
      </w:r>
      <w:r>
        <w:t>1</w:t>
      </w:r>
      <w:r w:rsidRPr="004549E5">
        <w:t>, n. 8)</w:t>
      </w:r>
      <w:r>
        <w:t>.</w:t>
      </w:r>
    </w:p>
  </w:footnote>
  <w:footnote w:id="82">
    <w:p w:rsidR="007A32E1" w:rsidRDefault="007A32E1" w:rsidP="00DE1667">
      <w:pPr>
        <w:pStyle w:val="FootnoteText"/>
      </w:pPr>
      <w:r>
        <w:rPr>
          <w:rStyle w:val="FootnoteReference"/>
        </w:rPr>
        <w:footnoteRef/>
      </w:r>
      <w:r>
        <w:t xml:space="preserve"> J. William Frost, </w:t>
      </w:r>
      <w:r w:rsidRPr="00BD349F">
        <w:t xml:space="preserve">"Pennsylvania Institutes Religious Liberty, 1682-1860." </w:t>
      </w:r>
      <w:r w:rsidRPr="00BD349F">
        <w:rPr>
          <w:i/>
          <w:iCs/>
        </w:rPr>
        <w:t>The Pennsylvania Magazine of History and Biography</w:t>
      </w:r>
      <w:r w:rsidRPr="00BD349F">
        <w:t xml:space="preserve"> 112, no. 3 (1988): 32</w:t>
      </w:r>
      <w:r>
        <w:t>4</w:t>
      </w:r>
      <w:r w:rsidRPr="000C405E">
        <w:t xml:space="preserve">, </w:t>
      </w:r>
      <w:hyperlink r:id="rId4" w:history="1">
        <w:r w:rsidRPr="000C405E">
          <w:rPr>
            <w:rStyle w:val="Hyperlink"/>
            <w:color w:val="auto"/>
          </w:rPr>
          <w:t>http://www.jstor.org/stable/20092231</w:t>
        </w:r>
      </w:hyperlink>
      <w:r w:rsidRPr="00BD349F">
        <w:t>.</w:t>
      </w:r>
    </w:p>
  </w:footnote>
  <w:footnote w:id="83">
    <w:p w:rsidR="007A32E1" w:rsidRDefault="007A32E1" w:rsidP="00DE1667">
      <w:pPr>
        <w:pStyle w:val="FootnoteText"/>
      </w:pPr>
      <w:r>
        <w:rPr>
          <w:rStyle w:val="FootnoteReference"/>
        </w:rPr>
        <w:footnoteRef/>
      </w:r>
      <w:r>
        <w:t xml:space="preserve"> Ibid.</w:t>
      </w:r>
    </w:p>
  </w:footnote>
  <w:footnote w:id="84">
    <w:p w:rsidR="007A32E1" w:rsidRDefault="007A32E1" w:rsidP="00DE1667">
      <w:pPr>
        <w:pStyle w:val="FootnoteText"/>
      </w:pPr>
      <w:r>
        <w:rPr>
          <w:rStyle w:val="FootnoteReference"/>
        </w:rPr>
        <w:footnoteRef/>
      </w:r>
      <w:r>
        <w:t xml:space="preserve"> </w:t>
      </w:r>
      <w:r w:rsidRPr="00C50642">
        <w:t>William C</w:t>
      </w:r>
      <w:r>
        <w:t xml:space="preserve">. </w:t>
      </w:r>
      <w:r w:rsidRPr="00366AB6">
        <w:t xml:space="preserve">Rives, </w:t>
      </w:r>
      <w:r w:rsidRPr="00366AB6">
        <w:rPr>
          <w:i/>
        </w:rPr>
        <w:t>History of the Life and Times of James Madison</w:t>
      </w:r>
      <w:r>
        <w:rPr>
          <w:i/>
        </w:rPr>
        <w:t>,</w:t>
      </w:r>
      <w:r w:rsidRPr="00366AB6">
        <w:t xml:space="preserve"> vol. </w:t>
      </w:r>
      <w:r>
        <w:t xml:space="preserve">1 </w:t>
      </w:r>
      <w:r w:rsidRPr="00366AB6">
        <w:t>2</w:t>
      </w:r>
      <w:r w:rsidRPr="00366AB6">
        <w:rPr>
          <w:vertAlign w:val="superscript"/>
        </w:rPr>
        <w:t>nd</w:t>
      </w:r>
      <w:r w:rsidRPr="00366AB6">
        <w:t xml:space="preserve"> ed. </w:t>
      </w:r>
      <w:r>
        <w:t>(</w:t>
      </w:r>
      <w:r w:rsidRPr="00366AB6">
        <w:t>Boston: Little, Brown and Company, 1870</w:t>
      </w:r>
      <w:r>
        <w:t>), R</w:t>
      </w:r>
      <w:r w:rsidRPr="00366AB6">
        <w:t>eprint by Forgotten Books, Lexington</w:t>
      </w:r>
      <w:r>
        <w:t xml:space="preserve">, 2012, </w:t>
      </w:r>
      <w:r w:rsidRPr="00366AB6">
        <w:t>46</w:t>
      </w:r>
      <w:r>
        <w:t>.</w:t>
      </w:r>
    </w:p>
  </w:footnote>
  <w:footnote w:id="85">
    <w:p w:rsidR="007A32E1" w:rsidRDefault="007A32E1" w:rsidP="00DE1667">
      <w:pPr>
        <w:pStyle w:val="FootnoteText"/>
      </w:pPr>
      <w:r>
        <w:rPr>
          <w:rStyle w:val="FootnoteReference"/>
        </w:rPr>
        <w:footnoteRef/>
      </w:r>
      <w:r>
        <w:t xml:space="preserve"> </w:t>
      </w:r>
      <w:bookmarkStart w:id="22" w:name="_Hlk521520385"/>
      <w:r w:rsidRPr="00EA33F7">
        <w:t xml:space="preserve">Bernard </w:t>
      </w:r>
      <w:r w:rsidRPr="006C40CC">
        <w:t xml:space="preserve">Bailyn, ed. </w:t>
      </w:r>
      <w:r w:rsidRPr="006C40CC">
        <w:rPr>
          <w:i/>
        </w:rPr>
        <w:t xml:space="preserve">Pamphlets of the American Revolution. </w:t>
      </w:r>
      <w:r w:rsidRPr="006C40CC">
        <w:t xml:space="preserve">vol 1. </w:t>
      </w:r>
      <w:r>
        <w:t>(</w:t>
      </w:r>
      <w:r w:rsidRPr="006C40CC">
        <w:t>Cambridge: Belknap Press, 1965</w:t>
      </w:r>
      <w:r>
        <w:t xml:space="preserve">), </w:t>
      </w:r>
      <w:bookmarkEnd w:id="22"/>
      <w:r>
        <w:t>151.</w:t>
      </w:r>
    </w:p>
  </w:footnote>
  <w:footnote w:id="86">
    <w:p w:rsidR="007A32E1" w:rsidRPr="00C50642" w:rsidRDefault="007A32E1" w:rsidP="00C50642">
      <w:pPr>
        <w:pStyle w:val="FootnoteText"/>
      </w:pPr>
      <w:r>
        <w:rPr>
          <w:rStyle w:val="FootnoteReference"/>
        </w:rPr>
        <w:footnoteRef/>
      </w:r>
      <w:r>
        <w:t xml:space="preserve"> </w:t>
      </w:r>
      <w:r w:rsidRPr="00C50642">
        <w:t xml:space="preserve">William C. Rives, </w:t>
      </w:r>
      <w:r w:rsidRPr="00C50642">
        <w:rPr>
          <w:i/>
        </w:rPr>
        <w:t>History of the Life and Times of James Madison,</w:t>
      </w:r>
      <w:r w:rsidRPr="00C50642">
        <w:t xml:space="preserve"> vol. 1 2</w:t>
      </w:r>
      <w:r w:rsidRPr="00C50642">
        <w:rPr>
          <w:vertAlign w:val="superscript"/>
        </w:rPr>
        <w:t>nd</w:t>
      </w:r>
      <w:r w:rsidRPr="00C50642">
        <w:t xml:space="preserve"> ed. (Boston: Little, Brown and Company, 1870), </w:t>
      </w:r>
      <w:r>
        <w:t>R</w:t>
      </w:r>
      <w:r w:rsidRPr="00C50642">
        <w:t>eprint by Forgotten Books, Lexington</w:t>
      </w:r>
      <w:r>
        <w:t>, 2012,</w:t>
      </w:r>
      <w:r w:rsidRPr="00C50642">
        <w:t xml:space="preserve"> 46</w:t>
      </w:r>
      <w:r>
        <w:t>.</w:t>
      </w:r>
    </w:p>
    <w:p w:rsidR="007A32E1" w:rsidRDefault="007A32E1" w:rsidP="00DE1667">
      <w:pPr>
        <w:pStyle w:val="FootnoteText"/>
      </w:pPr>
    </w:p>
  </w:footnote>
  <w:footnote w:id="87">
    <w:p w:rsidR="007A32E1" w:rsidRDefault="007A32E1" w:rsidP="00DE1667">
      <w:pPr>
        <w:pStyle w:val="FootnoteText"/>
      </w:pPr>
      <w:r>
        <w:rPr>
          <w:rStyle w:val="FootnoteReference"/>
        </w:rPr>
        <w:footnoteRef/>
      </w:r>
      <w:r>
        <w:t xml:space="preserve"> Ibid. </w:t>
      </w:r>
    </w:p>
  </w:footnote>
  <w:footnote w:id="88">
    <w:p w:rsidR="007A32E1" w:rsidRDefault="007A32E1" w:rsidP="00DE1667">
      <w:pPr>
        <w:pStyle w:val="FootnoteText"/>
      </w:pPr>
      <w:r>
        <w:rPr>
          <w:rStyle w:val="FootnoteReference"/>
        </w:rPr>
        <w:footnoteRef/>
      </w:r>
      <w:r>
        <w:t xml:space="preserve"> </w:t>
      </w:r>
      <w:r w:rsidRPr="00EA33F7">
        <w:t xml:space="preserve">Bernard Bailyn, ed. </w:t>
      </w:r>
      <w:r w:rsidRPr="00EA33F7">
        <w:rPr>
          <w:i/>
        </w:rPr>
        <w:t xml:space="preserve">Pamphlets of the American Revolution. </w:t>
      </w:r>
      <w:r w:rsidRPr="00EA33F7">
        <w:t>vol 1. (Cambridge: Belknap Press, 1965),</w:t>
      </w:r>
      <w:r>
        <w:t xml:space="preserve"> 151.</w:t>
      </w:r>
    </w:p>
  </w:footnote>
  <w:footnote w:id="89">
    <w:p w:rsidR="007A32E1" w:rsidRPr="003E7123" w:rsidRDefault="007A32E1" w:rsidP="00702F63">
      <w:pPr>
        <w:pStyle w:val="FootnoteText"/>
        <w:rPr>
          <w:i/>
        </w:rPr>
      </w:pPr>
      <w:r>
        <w:rPr>
          <w:rStyle w:val="FootnoteReference"/>
        </w:rPr>
        <w:footnoteRef/>
      </w:r>
      <w:r>
        <w:t xml:space="preserve"> Caroline Winterer. </w:t>
      </w:r>
      <w:r>
        <w:rPr>
          <w:i/>
        </w:rPr>
        <w:t xml:space="preserve">American Enlightenments: Pursuing Happiness in the Age of Reason </w:t>
      </w:r>
      <w:r>
        <w:t>(New Haven: Yale University Press, 2016), 173.</w:t>
      </w:r>
      <w:r>
        <w:rPr>
          <w:i/>
        </w:rPr>
        <w:t xml:space="preserve"> </w:t>
      </w:r>
    </w:p>
  </w:footnote>
  <w:footnote w:id="90">
    <w:p w:rsidR="007A32E1" w:rsidRDefault="007A32E1" w:rsidP="003D1488">
      <w:pPr>
        <w:pStyle w:val="FootnoteText"/>
      </w:pPr>
      <w:r>
        <w:rPr>
          <w:rStyle w:val="FootnoteReference"/>
        </w:rPr>
        <w:footnoteRef/>
      </w:r>
      <w:r>
        <w:t xml:space="preserve"> </w:t>
      </w:r>
      <w:r w:rsidRPr="00310D1C">
        <w:t>Gaillard Hunt, “Introduction: James Madison,” Writings 1: xiii</w:t>
      </w:r>
      <w:r>
        <w:t>.</w:t>
      </w:r>
      <w:r w:rsidRPr="00310D1C">
        <w:t xml:space="preserve"> (see chap. 1, n. 8). </w:t>
      </w:r>
      <w:r>
        <w:t>(</w:t>
      </w:r>
      <w:r w:rsidRPr="00A342F3">
        <w:t>Madison echoes this in a 1788 speech to the Virginia Ratifying Convention saying, religious “freedom arises from that multiplicity of sects, which pervades America, and which is the best and only security for religious liberty in any society. For where there is such a variety of sects, there cannot be a majority of any one sect to oppress and persecute the rest.</w:t>
      </w:r>
      <w:r>
        <w:t>)</w:t>
      </w:r>
      <w:r w:rsidRPr="00A342F3">
        <w:t xml:space="preserve"> James Madison, “Speeches In The Virginia Convention: June 12, 1788,” Writings 5:176.</w:t>
      </w:r>
    </w:p>
  </w:footnote>
  <w:footnote w:id="91">
    <w:p w:rsidR="007A32E1" w:rsidRDefault="007A32E1">
      <w:pPr>
        <w:pStyle w:val="FootnoteText"/>
      </w:pPr>
      <w:r>
        <w:rPr>
          <w:rStyle w:val="FootnoteReference"/>
        </w:rPr>
        <w:footnoteRef/>
      </w:r>
      <w:r>
        <w:t xml:space="preserve"> </w:t>
      </w:r>
      <w:r w:rsidRPr="00630FDF">
        <w:t xml:space="preserve">David Hume, </w:t>
      </w:r>
      <w:r w:rsidRPr="00630FDF">
        <w:rPr>
          <w:i/>
          <w:iCs/>
        </w:rPr>
        <w:t>The History of England from the Invasion of Julius Caesar to the Revolution in 1688,</w:t>
      </w:r>
      <w:r w:rsidRPr="00630FDF">
        <w:t xml:space="preserve"> Foreword by William B. Todd, 6 vols. (Indianapolis: Liberty Fund 1983)</w:t>
      </w:r>
      <w:r>
        <w:t>:</w:t>
      </w:r>
      <w:r w:rsidRPr="00630FDF">
        <w:t xml:space="preserve"> 4</w:t>
      </w:r>
      <w:r>
        <w:t xml:space="preserve">:291, </w:t>
      </w:r>
      <w:r w:rsidRPr="00630FDF">
        <w:t>http://oll.libertyfund.org/titles/791</w:t>
      </w:r>
      <w:r>
        <w:t>.</w:t>
      </w:r>
    </w:p>
  </w:footnote>
  <w:footnote w:id="92">
    <w:p w:rsidR="007A32E1" w:rsidRDefault="007A32E1">
      <w:pPr>
        <w:pStyle w:val="FootnoteText"/>
      </w:pPr>
      <w:r w:rsidRPr="00C95233">
        <w:rPr>
          <w:rStyle w:val="FootnoteReference"/>
        </w:rPr>
        <w:footnoteRef/>
      </w:r>
      <w:r w:rsidRPr="00C95233">
        <w:t xml:space="preserve"> </w:t>
      </w:r>
      <w:bookmarkStart w:id="23" w:name="_Hlk527386379"/>
      <w:r w:rsidRPr="00C95233">
        <w:t xml:space="preserve">Mark Goldie, </w:t>
      </w:r>
      <w:r w:rsidRPr="00C95233">
        <w:rPr>
          <w:i/>
          <w:iCs/>
        </w:rPr>
        <w:t>A Letter concerning Toleration and Other Writings,</w:t>
      </w:r>
      <w:r w:rsidRPr="00C95233">
        <w:t xml:space="preserve"> edited and with an Introduction by Mark Goldie (Indianapolis: Liberty Fund, 2010)</w:t>
      </w:r>
      <w:r>
        <w:t xml:space="preserve">: ix, </w:t>
      </w:r>
      <w:r w:rsidRPr="00C95233">
        <w:t>http://oll.libertyfund.org/titles/2375</w:t>
      </w:r>
      <w:r>
        <w:t>.</w:t>
      </w:r>
    </w:p>
    <w:bookmarkEnd w:id="23"/>
  </w:footnote>
  <w:footnote w:id="93">
    <w:p w:rsidR="007A32E1" w:rsidRDefault="007A32E1">
      <w:pPr>
        <w:pStyle w:val="FootnoteText"/>
      </w:pPr>
      <w:r>
        <w:rPr>
          <w:rStyle w:val="FootnoteReference"/>
        </w:rPr>
        <w:footnoteRef/>
      </w:r>
      <w:r>
        <w:t xml:space="preserve"> </w:t>
      </w:r>
      <w:r w:rsidRPr="002F77DB">
        <w:t xml:space="preserve">John Locke, </w:t>
      </w:r>
      <w:r w:rsidRPr="002F77DB">
        <w:rPr>
          <w:i/>
        </w:rPr>
        <w:t>Two Treatise of Government and A Letter Concerning Toleration</w:t>
      </w:r>
      <w:r w:rsidRPr="002F77DB">
        <w:t xml:space="preserve"> (Lexington: Digireads.com Publishing, 2015), 20</w:t>
      </w:r>
      <w:r>
        <w:t>6.</w:t>
      </w:r>
    </w:p>
  </w:footnote>
  <w:footnote w:id="94">
    <w:p w:rsidR="007A32E1" w:rsidRDefault="007A32E1" w:rsidP="00702F63">
      <w:pPr>
        <w:pStyle w:val="FootnoteText"/>
      </w:pPr>
      <w:r>
        <w:rPr>
          <w:rStyle w:val="FootnoteReference"/>
        </w:rPr>
        <w:footnoteRef/>
      </w:r>
      <w:r>
        <w:t xml:space="preserve"> </w:t>
      </w:r>
      <w:r w:rsidRPr="00460261">
        <w:t>James Madison, “Memorial and Remonstrance Against Religious Assessments,” Writings 2:184</w:t>
      </w:r>
      <w:r>
        <w:t>.</w:t>
      </w:r>
      <w:r w:rsidRPr="00460261">
        <w:t xml:space="preserve"> (see chap. </w:t>
      </w:r>
      <w:r>
        <w:t>1</w:t>
      </w:r>
      <w:r w:rsidRPr="00460261">
        <w:t>, n. 8)</w:t>
      </w:r>
      <w:r>
        <w:t>.</w:t>
      </w:r>
    </w:p>
  </w:footnote>
  <w:footnote w:id="95">
    <w:p w:rsidR="007A32E1" w:rsidRDefault="007A32E1" w:rsidP="00702F63">
      <w:pPr>
        <w:pStyle w:val="FootnoteText"/>
      </w:pPr>
      <w:r>
        <w:rPr>
          <w:rStyle w:val="FootnoteReference"/>
        </w:rPr>
        <w:footnoteRef/>
      </w:r>
      <w:r>
        <w:t xml:space="preserve"> </w:t>
      </w:r>
      <w:r w:rsidRPr="005B7953">
        <w:t xml:space="preserve">John Locke, </w:t>
      </w:r>
      <w:r w:rsidRPr="005B7953">
        <w:rPr>
          <w:i/>
        </w:rPr>
        <w:t>Two Treatise of Government and A Letter Concerning Toleration</w:t>
      </w:r>
      <w:r w:rsidRPr="005B7953">
        <w:t xml:space="preserve"> (Lexington: Digireads.com Publishing, 2015), </w:t>
      </w:r>
      <w:r>
        <w:t>207.</w:t>
      </w:r>
    </w:p>
  </w:footnote>
  <w:footnote w:id="96">
    <w:p w:rsidR="007A32E1" w:rsidRDefault="007A32E1" w:rsidP="00702F63">
      <w:pPr>
        <w:pStyle w:val="FootnoteText"/>
      </w:pPr>
      <w:r>
        <w:rPr>
          <w:rStyle w:val="FootnoteReference"/>
        </w:rPr>
        <w:footnoteRef/>
      </w:r>
      <w:r>
        <w:t xml:space="preserve"> </w:t>
      </w:r>
      <w:r w:rsidRPr="00460261">
        <w:t>James Madison, “Memorial and Remonstrance Against Religious Assessments,” Writings 2:184</w:t>
      </w:r>
      <w:r>
        <w:t>.</w:t>
      </w:r>
      <w:r w:rsidRPr="00460261">
        <w:t xml:space="preserve"> (see chap. </w:t>
      </w:r>
      <w:r>
        <w:t>1</w:t>
      </w:r>
      <w:r w:rsidRPr="00460261">
        <w:t>, n. 8)</w:t>
      </w:r>
      <w:r>
        <w:t>.</w:t>
      </w:r>
    </w:p>
  </w:footnote>
  <w:footnote w:id="97">
    <w:p w:rsidR="007A32E1" w:rsidRDefault="007A32E1" w:rsidP="00702F63">
      <w:pPr>
        <w:pStyle w:val="FootnoteText"/>
      </w:pPr>
      <w:r>
        <w:rPr>
          <w:rStyle w:val="FootnoteReference"/>
        </w:rPr>
        <w:footnoteRef/>
      </w:r>
      <w:r>
        <w:t xml:space="preserve"> </w:t>
      </w:r>
      <w:r w:rsidRPr="005B7953">
        <w:t xml:space="preserve">John Locke, </w:t>
      </w:r>
      <w:r w:rsidRPr="005B7953">
        <w:rPr>
          <w:i/>
        </w:rPr>
        <w:t>Two Treatise of Government and A Letter Concerning Toleration</w:t>
      </w:r>
      <w:r w:rsidRPr="005B7953">
        <w:t xml:space="preserve"> (Lexington: Digireads.com Publishing, 2015), </w:t>
      </w:r>
      <w:r>
        <w:t>219.</w:t>
      </w:r>
    </w:p>
  </w:footnote>
  <w:footnote w:id="98">
    <w:p w:rsidR="007A32E1" w:rsidRDefault="007A32E1" w:rsidP="00702F63">
      <w:pPr>
        <w:pStyle w:val="FootnoteText"/>
      </w:pPr>
      <w:r>
        <w:rPr>
          <w:rStyle w:val="FootnoteReference"/>
        </w:rPr>
        <w:footnoteRef/>
      </w:r>
      <w:r>
        <w:t xml:space="preserve"> </w:t>
      </w:r>
      <w:r w:rsidRPr="00460261">
        <w:t>James Madison, “Memorial and Remonstrance Against Religious Assessments,” Writings 2:18</w:t>
      </w:r>
      <w:r>
        <w:t>7.</w:t>
      </w:r>
      <w:r w:rsidRPr="00460261">
        <w:t xml:space="preserve"> (see chap. </w:t>
      </w:r>
      <w:r>
        <w:t>1</w:t>
      </w:r>
      <w:r w:rsidRPr="00460261">
        <w:t>, n. 8)</w:t>
      </w:r>
      <w:r>
        <w:t>.</w:t>
      </w:r>
    </w:p>
  </w:footnote>
  <w:footnote w:id="99">
    <w:p w:rsidR="007A32E1" w:rsidRDefault="007A32E1" w:rsidP="00702F63">
      <w:pPr>
        <w:pStyle w:val="FootnoteText"/>
      </w:pPr>
      <w:r>
        <w:rPr>
          <w:rStyle w:val="FootnoteReference"/>
        </w:rPr>
        <w:footnoteRef/>
      </w:r>
      <w:r>
        <w:t xml:space="preserve"> Ibid.</w:t>
      </w:r>
    </w:p>
  </w:footnote>
  <w:footnote w:id="100">
    <w:p w:rsidR="007A32E1" w:rsidRDefault="007A32E1" w:rsidP="00702F63">
      <w:pPr>
        <w:pStyle w:val="FootnoteText"/>
      </w:pPr>
      <w:r>
        <w:rPr>
          <w:rStyle w:val="FootnoteReference"/>
        </w:rPr>
        <w:footnoteRef/>
      </w:r>
      <w:r>
        <w:t xml:space="preserve"> </w:t>
      </w:r>
      <w:r w:rsidRPr="005B7953">
        <w:t xml:space="preserve">John Locke, </w:t>
      </w:r>
      <w:r w:rsidRPr="005B7953">
        <w:rPr>
          <w:i/>
        </w:rPr>
        <w:t>Two Treatise of Government and A Letter Concerning Toleration</w:t>
      </w:r>
      <w:r w:rsidRPr="005B7953">
        <w:t xml:space="preserve"> (Lexington: Digireads.com Publishing, 2015), </w:t>
      </w:r>
      <w:r>
        <w:t>218.</w:t>
      </w:r>
    </w:p>
  </w:footnote>
  <w:footnote w:id="101">
    <w:p w:rsidR="007A32E1" w:rsidRDefault="007A32E1" w:rsidP="00702F63">
      <w:pPr>
        <w:pStyle w:val="FootnoteText"/>
      </w:pPr>
      <w:r>
        <w:rPr>
          <w:rStyle w:val="FootnoteReference"/>
        </w:rPr>
        <w:footnoteRef/>
      </w:r>
      <w:r>
        <w:t xml:space="preserve"> Ibid.,</w:t>
      </w:r>
      <w:r w:rsidRPr="005B7953">
        <w:t xml:space="preserve"> </w:t>
      </w:r>
      <w:r>
        <w:t>212.</w:t>
      </w:r>
    </w:p>
  </w:footnote>
  <w:footnote w:id="102">
    <w:p w:rsidR="007A32E1" w:rsidRDefault="007A32E1" w:rsidP="00702F63">
      <w:pPr>
        <w:pStyle w:val="FootnoteText"/>
      </w:pPr>
      <w:r>
        <w:rPr>
          <w:rStyle w:val="FootnoteReference"/>
        </w:rPr>
        <w:footnoteRef/>
      </w:r>
      <w:r>
        <w:t xml:space="preserve"> </w:t>
      </w:r>
      <w:r w:rsidRPr="00460261">
        <w:t>James Madison, “Memorial and Remonstrance Against Religious Assessments,” Writings 2:18</w:t>
      </w:r>
      <w:r>
        <w:t>8.</w:t>
      </w:r>
      <w:r w:rsidRPr="00460261">
        <w:t xml:space="preserve"> (see chap. </w:t>
      </w:r>
      <w:r>
        <w:t>1</w:t>
      </w:r>
      <w:r w:rsidRPr="00460261">
        <w:t>, n. 8)</w:t>
      </w:r>
      <w:r>
        <w:t>.</w:t>
      </w:r>
    </w:p>
  </w:footnote>
  <w:footnote w:id="103">
    <w:p w:rsidR="007A32E1" w:rsidRDefault="007A32E1" w:rsidP="00702F63">
      <w:pPr>
        <w:pStyle w:val="FootnoteText"/>
      </w:pPr>
      <w:r>
        <w:rPr>
          <w:rStyle w:val="FootnoteReference"/>
        </w:rPr>
        <w:footnoteRef/>
      </w:r>
      <w:r>
        <w:t xml:space="preserve"> Ibid.,</w:t>
      </w:r>
      <w:r w:rsidRPr="00460261">
        <w:t xml:space="preserve"> 2:18</w:t>
      </w:r>
      <w:r>
        <w:t>5.</w:t>
      </w:r>
    </w:p>
  </w:footnote>
  <w:footnote w:id="104">
    <w:p w:rsidR="007A32E1" w:rsidRDefault="007A32E1" w:rsidP="00FA564F">
      <w:pPr>
        <w:pStyle w:val="FootnoteText"/>
      </w:pPr>
      <w:r>
        <w:rPr>
          <w:rStyle w:val="FootnoteReference"/>
        </w:rPr>
        <w:footnoteRef/>
      </w:r>
      <w:r>
        <w:t xml:space="preserve"> </w:t>
      </w:r>
      <w:bookmarkStart w:id="24" w:name="_Hlk522990283"/>
      <w:r>
        <w:t xml:space="preserve">Ibid., 2:183-4, </w:t>
      </w:r>
      <w:bookmarkEnd w:id="24"/>
      <w:r>
        <w:t xml:space="preserve">and </w:t>
      </w:r>
      <w:r w:rsidRPr="004549E5">
        <w:t xml:space="preserve">Gaillard Hunt, </w:t>
      </w:r>
      <w:r w:rsidRPr="004549E5">
        <w:rPr>
          <w:i/>
        </w:rPr>
        <w:t>The Life of James Madison</w:t>
      </w:r>
      <w:r w:rsidRPr="004549E5">
        <w:t xml:space="preserve"> (New York: Russell &amp; Russell, 1902),</w:t>
      </w:r>
      <w:r>
        <w:t xml:space="preserve"> 80-1.</w:t>
      </w:r>
    </w:p>
  </w:footnote>
  <w:footnote w:id="105">
    <w:p w:rsidR="007A32E1" w:rsidRDefault="007A32E1" w:rsidP="00FA564F">
      <w:pPr>
        <w:pStyle w:val="FootnoteText"/>
      </w:pPr>
      <w:r>
        <w:rPr>
          <w:rStyle w:val="FootnoteReference"/>
        </w:rPr>
        <w:footnoteRef/>
      </w:r>
      <w:r>
        <w:t xml:space="preserve"> </w:t>
      </w:r>
      <w:r w:rsidRPr="0076444E">
        <w:t xml:space="preserve">Gaillard Hunt, </w:t>
      </w:r>
      <w:r w:rsidRPr="0076444E">
        <w:rPr>
          <w:i/>
        </w:rPr>
        <w:t>The Life of James Madison</w:t>
      </w:r>
      <w:r w:rsidRPr="0076444E">
        <w:t xml:space="preserve"> (New York: Russell &amp; Russell, 1902), </w:t>
      </w:r>
      <w:r>
        <w:t>81.</w:t>
      </w:r>
    </w:p>
  </w:footnote>
  <w:footnote w:id="106">
    <w:p w:rsidR="007A32E1" w:rsidRDefault="007A32E1" w:rsidP="00FA564F">
      <w:pPr>
        <w:pStyle w:val="FootnoteText"/>
      </w:pPr>
      <w:r>
        <w:rPr>
          <w:rStyle w:val="FootnoteReference"/>
        </w:rPr>
        <w:footnoteRef/>
      </w:r>
      <w:r>
        <w:t xml:space="preserve"> Ibid.,</w:t>
      </w:r>
      <w:r w:rsidRPr="0076444E">
        <w:t xml:space="preserve"> </w:t>
      </w:r>
      <w:r>
        <w:t>81.</w:t>
      </w:r>
    </w:p>
  </w:footnote>
  <w:footnote w:id="107">
    <w:p w:rsidR="007A32E1" w:rsidRDefault="007A32E1" w:rsidP="00FA564F">
      <w:pPr>
        <w:pStyle w:val="FootnoteText"/>
      </w:pPr>
      <w:r>
        <w:rPr>
          <w:rStyle w:val="FootnoteReference"/>
        </w:rPr>
        <w:footnoteRef/>
      </w:r>
      <w:r>
        <w:t xml:space="preserve"> Ibid.,</w:t>
      </w:r>
      <w:r w:rsidRPr="0076444E">
        <w:t xml:space="preserve"> </w:t>
      </w:r>
      <w:r>
        <w:t>84.</w:t>
      </w:r>
    </w:p>
  </w:footnote>
  <w:footnote w:id="108">
    <w:p w:rsidR="007A32E1" w:rsidRDefault="007A32E1" w:rsidP="00FA564F">
      <w:pPr>
        <w:pStyle w:val="FootnoteText"/>
      </w:pPr>
      <w:r>
        <w:rPr>
          <w:rStyle w:val="FootnoteReference"/>
        </w:rPr>
        <w:footnoteRef/>
      </w:r>
      <w:r>
        <w:t xml:space="preserve"> </w:t>
      </w:r>
      <w:bookmarkStart w:id="25" w:name="_Hlk521759979"/>
      <w:r w:rsidRPr="00B660EE">
        <w:t xml:space="preserve">The other place where Madison made a concise argument in defense of religious liberty is, of course, the </w:t>
      </w:r>
      <w:r w:rsidRPr="00B660EE">
        <w:rPr>
          <w:i/>
        </w:rPr>
        <w:t>Detached Memoranda</w:t>
      </w:r>
      <w:r w:rsidRPr="00B660EE">
        <w:t xml:space="preserve"> however, this was a product of his later life and was written long after the Bill of Rights was in place. Additionally, the arguments in it are somewhat less clear except in this; that Madison declared that the issue in religious freedom was an argument concerning “separation between the authority of human laws, and the natural rights of Man.”</w:t>
      </w:r>
      <w:r>
        <w:t xml:space="preserve"> I will also note that neither of the Justices in </w:t>
      </w:r>
      <w:r w:rsidRPr="00E11CB3">
        <w:rPr>
          <w:i/>
        </w:rPr>
        <w:t>Everson</w:t>
      </w:r>
      <w:r>
        <w:t xml:space="preserve"> cite the </w:t>
      </w:r>
      <w:r w:rsidRPr="00E11CB3">
        <w:rPr>
          <w:i/>
        </w:rPr>
        <w:t>Detached Memo</w:t>
      </w:r>
      <w:r>
        <w:t xml:space="preserve">. </w:t>
      </w:r>
      <w:r w:rsidRPr="00B660EE">
        <w:t xml:space="preserve">It is for that reason that I am focusing on the </w:t>
      </w:r>
      <w:r w:rsidRPr="00B660EE">
        <w:rPr>
          <w:i/>
        </w:rPr>
        <w:t>Memorial and Remonstrance</w:t>
      </w:r>
      <w:r w:rsidRPr="00B660EE">
        <w:t xml:space="preserve"> and not the </w:t>
      </w:r>
      <w:r w:rsidRPr="00B660EE">
        <w:rPr>
          <w:i/>
        </w:rPr>
        <w:t>Detached Memoranda</w:t>
      </w:r>
      <w:r w:rsidRPr="00B660EE">
        <w:t>.</w:t>
      </w:r>
      <w:r>
        <w:t xml:space="preserve"> </w:t>
      </w:r>
      <w:r w:rsidRPr="008D79A5">
        <w:t>Elizabeth Fleet</w:t>
      </w:r>
      <w:r>
        <w:t>, “</w:t>
      </w:r>
      <w:r w:rsidRPr="008D79A5">
        <w:t>Madison's Detached Memoranda"</w:t>
      </w:r>
      <w:r>
        <w:t xml:space="preserve"> </w:t>
      </w:r>
      <w:r w:rsidRPr="008D79A5">
        <w:rPr>
          <w:i/>
        </w:rPr>
        <w:t>The William and Mary Quarterly</w:t>
      </w:r>
      <w:r w:rsidRPr="008D79A5">
        <w:t>, Vol. 3, No. 4 (Oct., 1946),</w:t>
      </w:r>
      <w:r>
        <w:t xml:space="preserve"> (Williamsburg: </w:t>
      </w:r>
      <w:r w:rsidRPr="008D79A5">
        <w:t>Omohundro Institute of Early American History and Culture</w:t>
      </w:r>
      <w:r>
        <w:t xml:space="preserve">): 554, </w:t>
      </w:r>
      <w:hyperlink r:id="rId5" w:history="1">
        <w:r w:rsidRPr="002F77DB">
          <w:rPr>
            <w:rStyle w:val="Hyperlink"/>
            <w:color w:val="auto"/>
          </w:rPr>
          <w:t>http://www.jstor.org/stable/1921903</w:t>
        </w:r>
      </w:hyperlink>
      <w:bookmarkEnd w:id="25"/>
      <w:r w:rsidRPr="002F77DB">
        <w:t>.</w:t>
      </w:r>
    </w:p>
  </w:footnote>
  <w:footnote w:id="109">
    <w:p w:rsidR="007A32E1" w:rsidRDefault="007A32E1" w:rsidP="00FA564F">
      <w:pPr>
        <w:pStyle w:val="FootnoteText"/>
      </w:pPr>
      <w:r>
        <w:rPr>
          <w:rStyle w:val="FootnoteReference"/>
        </w:rPr>
        <w:footnoteRef/>
      </w:r>
      <w:r>
        <w:t xml:space="preserve"> </w:t>
      </w:r>
      <w:bookmarkStart w:id="26" w:name="_Hlk522990704"/>
      <w:r>
        <w:t xml:space="preserve">James Madison, </w:t>
      </w:r>
      <w:r w:rsidRPr="00460261">
        <w:t>“Memorial and Remonstrance Against Religious Assessments,” Writings 2:184</w:t>
      </w:r>
      <w:r>
        <w:t>.</w:t>
      </w:r>
      <w:r w:rsidRPr="00460261">
        <w:t xml:space="preserve"> (see chap. </w:t>
      </w:r>
      <w:r>
        <w:t>1</w:t>
      </w:r>
      <w:r w:rsidRPr="00460261">
        <w:t>, n. 8)</w:t>
      </w:r>
      <w:r>
        <w:t>.</w:t>
      </w:r>
    </w:p>
    <w:bookmarkEnd w:id="26"/>
  </w:footnote>
  <w:footnote w:id="110">
    <w:p w:rsidR="007A32E1" w:rsidRDefault="007A32E1" w:rsidP="00FA564F">
      <w:pPr>
        <w:pStyle w:val="FootnoteText"/>
      </w:pPr>
      <w:r>
        <w:rPr>
          <w:rStyle w:val="FootnoteReference"/>
        </w:rPr>
        <w:footnoteRef/>
      </w:r>
      <w:r>
        <w:t xml:space="preserve"> Ibid.,</w:t>
      </w:r>
      <w:r w:rsidRPr="000401C6">
        <w:t xml:space="preserve"> 2:185</w:t>
      </w:r>
      <w:bookmarkStart w:id="27" w:name="_Hlk522991409"/>
      <w:r>
        <w:t>.</w:t>
      </w:r>
    </w:p>
    <w:bookmarkEnd w:id="27"/>
  </w:footnote>
  <w:footnote w:id="111">
    <w:p w:rsidR="007A32E1" w:rsidRDefault="007A32E1" w:rsidP="00FA564F">
      <w:pPr>
        <w:pStyle w:val="FootnoteText"/>
      </w:pPr>
      <w:r>
        <w:rPr>
          <w:rStyle w:val="FootnoteReference"/>
        </w:rPr>
        <w:footnoteRef/>
      </w:r>
      <w:r>
        <w:t xml:space="preserve"> Ibid., </w:t>
      </w:r>
      <w:r w:rsidRPr="000401C6">
        <w:t>2:18</w:t>
      </w:r>
      <w:r>
        <w:t>9.</w:t>
      </w:r>
    </w:p>
  </w:footnote>
  <w:footnote w:id="112">
    <w:p w:rsidR="007A32E1" w:rsidRDefault="007A32E1" w:rsidP="00FA564F">
      <w:pPr>
        <w:pStyle w:val="FootnoteText"/>
      </w:pPr>
      <w:r>
        <w:rPr>
          <w:rStyle w:val="FootnoteReference"/>
        </w:rPr>
        <w:footnoteRef/>
      </w:r>
      <w:r>
        <w:t xml:space="preserve"> </w:t>
      </w:r>
      <w:r w:rsidRPr="0088126A">
        <w:t>Marc M Arkin, "The Intractable Principle: David Hume, James Madison, Religion, and the Tenth Federalist.” The American Journal of Legal History, Vol. 39, No. 2 (Apr., 1995), 148 (Oxford University Press)</w:t>
      </w:r>
      <w:r>
        <w:t>: 151,</w:t>
      </w:r>
      <w:r w:rsidRPr="0088126A">
        <w:t xml:space="preserve"> https://www.jstor.org/stable/845899</w:t>
      </w:r>
      <w:r>
        <w:t>.</w:t>
      </w:r>
    </w:p>
  </w:footnote>
  <w:footnote w:id="113">
    <w:p w:rsidR="007A32E1" w:rsidRDefault="007A32E1" w:rsidP="00FA564F">
      <w:pPr>
        <w:pStyle w:val="FootnoteText"/>
      </w:pPr>
      <w:r>
        <w:rPr>
          <w:rStyle w:val="FootnoteReference"/>
        </w:rPr>
        <w:footnoteRef/>
      </w:r>
      <w:r>
        <w:t xml:space="preserve"> </w:t>
      </w:r>
      <w:r w:rsidRPr="001B7678">
        <w:t xml:space="preserve">James Madison, </w:t>
      </w:r>
      <w:bookmarkStart w:id="28" w:name="_Hlk523586201"/>
      <w:r w:rsidRPr="001B7678">
        <w:rPr>
          <w:i/>
        </w:rPr>
        <w:t xml:space="preserve">The Federalist Papers No. 10, </w:t>
      </w:r>
      <w:r w:rsidRPr="001B7678">
        <w:t>(New Haven: Lillian Goldman Law Library, 2008)</w:t>
      </w:r>
      <w:r>
        <w:t xml:space="preserve">: </w:t>
      </w:r>
      <w:r w:rsidRPr="001B7678">
        <w:t>http://avalon.law.yale.edu/subject_menus/fed.asp</w:t>
      </w:r>
      <w:bookmarkEnd w:id="28"/>
      <w:r>
        <w:t>.</w:t>
      </w:r>
    </w:p>
  </w:footnote>
  <w:footnote w:id="114">
    <w:p w:rsidR="007A32E1" w:rsidRDefault="007A32E1" w:rsidP="00FA564F">
      <w:pPr>
        <w:pStyle w:val="FootnoteText"/>
      </w:pPr>
      <w:r>
        <w:rPr>
          <w:rStyle w:val="FootnoteReference"/>
        </w:rPr>
        <w:footnoteRef/>
      </w:r>
      <w:r>
        <w:t xml:space="preserve"> </w:t>
      </w:r>
      <w:r w:rsidRPr="00711559">
        <w:t xml:space="preserve">Robert J Morgan, </w:t>
      </w:r>
      <w:r w:rsidRPr="00711559">
        <w:rPr>
          <w:i/>
        </w:rPr>
        <w:t>James Madison on the Constitution and the Bill of Rights</w:t>
      </w:r>
      <w:r w:rsidRPr="00711559">
        <w:t xml:space="preserve"> </w:t>
      </w:r>
      <w:r>
        <w:t>(</w:t>
      </w:r>
      <w:r w:rsidRPr="00711559">
        <w:t>New York: Greenwood Press, 1988</w:t>
      </w:r>
      <w:r>
        <w:t>), 143.</w:t>
      </w:r>
    </w:p>
  </w:footnote>
  <w:footnote w:id="115">
    <w:p w:rsidR="007A32E1" w:rsidRDefault="007A32E1" w:rsidP="00FA564F">
      <w:pPr>
        <w:pStyle w:val="FootnoteText"/>
      </w:pPr>
      <w:r>
        <w:rPr>
          <w:rStyle w:val="FootnoteReference"/>
        </w:rPr>
        <w:footnoteRef/>
      </w:r>
      <w:r>
        <w:t xml:space="preserve"> </w:t>
      </w:r>
      <w:bookmarkStart w:id="29" w:name="_Hlk522993498"/>
      <w:r w:rsidRPr="00842007">
        <w:t xml:space="preserve">Eric T. </w:t>
      </w:r>
      <w:r>
        <w:t xml:space="preserve"> </w:t>
      </w:r>
      <w:r w:rsidRPr="00842007">
        <w:t xml:space="preserve">Kasper, </w:t>
      </w:r>
      <w:r w:rsidRPr="00842007">
        <w:rPr>
          <w:i/>
        </w:rPr>
        <w:t>To Secure the Liberty of the People: James Madison’s Bill of Rights and the Supreme Court’s Interpretation</w:t>
      </w:r>
      <w:r w:rsidRPr="00842007">
        <w:t xml:space="preserve"> </w:t>
      </w:r>
      <w:r>
        <w:t>(</w:t>
      </w:r>
      <w:r w:rsidRPr="00842007">
        <w:t>DeKalb: Northern Illinois University Press, 2010</w:t>
      </w:r>
      <w:r>
        <w:t xml:space="preserve">), </w:t>
      </w:r>
      <w:bookmarkEnd w:id="29"/>
      <w:r>
        <w:t>102.</w:t>
      </w:r>
    </w:p>
  </w:footnote>
  <w:footnote w:id="116">
    <w:p w:rsidR="007A32E1" w:rsidRDefault="007A32E1" w:rsidP="00FA564F">
      <w:pPr>
        <w:pStyle w:val="FootnoteText"/>
      </w:pPr>
      <w:r>
        <w:rPr>
          <w:rStyle w:val="FootnoteReference"/>
        </w:rPr>
        <w:footnoteRef/>
      </w:r>
      <w:r>
        <w:t xml:space="preserve"> James Madison, “</w:t>
      </w:r>
      <w:r w:rsidRPr="007D34F9">
        <w:rPr>
          <w:bCs/>
        </w:rPr>
        <w:t xml:space="preserve">Notes </w:t>
      </w:r>
      <w:r>
        <w:rPr>
          <w:bCs/>
        </w:rPr>
        <w:t>o</w:t>
      </w:r>
      <w:r w:rsidRPr="007D34F9">
        <w:rPr>
          <w:bCs/>
        </w:rPr>
        <w:t xml:space="preserve">f Speech Against Assessments </w:t>
      </w:r>
      <w:r>
        <w:rPr>
          <w:bCs/>
        </w:rPr>
        <w:t>f</w:t>
      </w:r>
      <w:r w:rsidRPr="007D34F9">
        <w:rPr>
          <w:bCs/>
        </w:rPr>
        <w:t xml:space="preserve">or Support </w:t>
      </w:r>
      <w:r>
        <w:rPr>
          <w:bCs/>
        </w:rPr>
        <w:t>o</w:t>
      </w:r>
      <w:r w:rsidRPr="007D34F9">
        <w:rPr>
          <w:bCs/>
        </w:rPr>
        <w:t>f Religion. November — 1784</w:t>
      </w:r>
      <w:r w:rsidRPr="007D34F9">
        <w:rPr>
          <w:b/>
          <w:bCs/>
        </w:rPr>
        <w:t>.</w:t>
      </w:r>
      <w:r>
        <w:rPr>
          <w:b/>
          <w:bCs/>
        </w:rPr>
        <w:t xml:space="preserve">” </w:t>
      </w:r>
      <w:r>
        <w:t xml:space="preserve">Writings 2:88. </w:t>
      </w:r>
      <w:r w:rsidRPr="00842007">
        <w:t xml:space="preserve">(see chap. </w:t>
      </w:r>
      <w:r>
        <w:t>1</w:t>
      </w:r>
      <w:r w:rsidRPr="00842007">
        <w:t>, n. 8)</w:t>
      </w:r>
      <w:r w:rsidR="00ED72D2">
        <w:t>.</w:t>
      </w:r>
    </w:p>
  </w:footnote>
  <w:footnote w:id="117">
    <w:p w:rsidR="007A32E1" w:rsidRPr="00D66116" w:rsidRDefault="007A32E1" w:rsidP="00FA564F">
      <w:pPr>
        <w:pStyle w:val="FootnoteText"/>
      </w:pPr>
      <w:r>
        <w:rPr>
          <w:rStyle w:val="FootnoteReference"/>
        </w:rPr>
        <w:footnoteRef/>
      </w:r>
      <w:r>
        <w:t xml:space="preserve"> Martin Luther, </w:t>
      </w:r>
      <w:r>
        <w:rPr>
          <w:i/>
        </w:rPr>
        <w:t>A Short Exposition of Dr. Martin Luther’s Small Catechism: English-German Edition</w:t>
      </w:r>
      <w:r>
        <w:t xml:space="preserve"> (St. Louis: Concordia, 1912), 3-4.</w:t>
      </w:r>
    </w:p>
  </w:footnote>
  <w:footnote w:id="118">
    <w:p w:rsidR="007A32E1" w:rsidRDefault="007A32E1" w:rsidP="00FA564F">
      <w:pPr>
        <w:pStyle w:val="FootnoteText"/>
      </w:pPr>
      <w:r>
        <w:rPr>
          <w:rStyle w:val="FootnoteReference"/>
        </w:rPr>
        <w:footnoteRef/>
      </w:r>
      <w:r>
        <w:t xml:space="preserve"> Ibid., 4.</w:t>
      </w:r>
    </w:p>
  </w:footnote>
  <w:footnote w:id="119">
    <w:p w:rsidR="007A32E1" w:rsidRDefault="007A32E1" w:rsidP="00FA564F">
      <w:pPr>
        <w:pStyle w:val="FootnoteText"/>
      </w:pPr>
      <w:r>
        <w:rPr>
          <w:rStyle w:val="FootnoteReference"/>
        </w:rPr>
        <w:footnoteRef/>
      </w:r>
      <w:r>
        <w:t xml:space="preserve"> </w:t>
      </w:r>
      <w:r w:rsidRPr="000C0E53">
        <w:t xml:space="preserve">Hans J. Hillerbrand, </w:t>
      </w:r>
      <w:r w:rsidRPr="000C0E53">
        <w:rPr>
          <w:i/>
        </w:rPr>
        <w:t xml:space="preserve">The Division of Christendom: Christianity in the Sixteenth Century </w:t>
      </w:r>
      <w:r w:rsidRPr="000C0E53">
        <w:t xml:space="preserve">(Louisville: Westminster John Knox Press, 2007), </w:t>
      </w:r>
      <w:r>
        <w:t>163-4.</w:t>
      </w:r>
    </w:p>
  </w:footnote>
  <w:footnote w:id="120">
    <w:p w:rsidR="007A32E1" w:rsidRDefault="007A32E1" w:rsidP="00FA564F">
      <w:pPr>
        <w:pStyle w:val="FootnoteText"/>
      </w:pPr>
      <w:r>
        <w:rPr>
          <w:rStyle w:val="FootnoteReference"/>
        </w:rPr>
        <w:footnoteRef/>
      </w:r>
      <w:r>
        <w:t xml:space="preserve"> </w:t>
      </w:r>
      <w:r w:rsidRPr="003C6E72">
        <w:t xml:space="preserve">Lewis Spitz, "The Augsburg Confession: 450 Years of History." </w:t>
      </w:r>
      <w:r w:rsidRPr="003C6E72">
        <w:rPr>
          <w:i/>
          <w:iCs/>
        </w:rPr>
        <w:t>The Sixteenth Century Journal</w:t>
      </w:r>
      <w:r w:rsidRPr="003C6E72">
        <w:t xml:space="preserve"> 11, no. 3 (1980): 3-</w:t>
      </w:r>
      <w:r>
        <w:t>6,</w:t>
      </w:r>
      <w:r w:rsidRPr="003C6E72">
        <w:t xml:space="preserve"> doi:10.2307/2540150.</w:t>
      </w:r>
    </w:p>
  </w:footnote>
  <w:footnote w:id="121">
    <w:p w:rsidR="007A32E1" w:rsidRDefault="007A32E1" w:rsidP="00FA564F">
      <w:pPr>
        <w:pStyle w:val="FootnoteText"/>
      </w:pPr>
      <w:r>
        <w:rPr>
          <w:rStyle w:val="FootnoteReference"/>
        </w:rPr>
        <w:footnoteRef/>
      </w:r>
      <w:r>
        <w:t xml:space="preserve"> Ibid., 7.</w:t>
      </w:r>
    </w:p>
  </w:footnote>
  <w:footnote w:id="122">
    <w:p w:rsidR="007A32E1" w:rsidRDefault="007A32E1" w:rsidP="00295C98">
      <w:pPr>
        <w:pStyle w:val="FootnoteText"/>
      </w:pPr>
      <w:r>
        <w:rPr>
          <w:rStyle w:val="FootnoteReference"/>
        </w:rPr>
        <w:footnoteRef/>
      </w:r>
      <w:r>
        <w:t xml:space="preserve"> </w:t>
      </w:r>
      <w:r w:rsidRPr="00295C98">
        <w:t xml:space="preserve">Benjamin J. Kaplan, </w:t>
      </w:r>
      <w:r w:rsidRPr="00295C98">
        <w:rPr>
          <w:i/>
        </w:rPr>
        <w:t xml:space="preserve">Divided by Faith: Religious Conflict and the Practice of Toleration in Early Modern Europe </w:t>
      </w:r>
      <w:r w:rsidRPr="00295C98">
        <w:t>(Cambridge: The Belknap Press, 2007), 65</w:t>
      </w:r>
      <w:r>
        <w:t>.</w:t>
      </w:r>
    </w:p>
  </w:footnote>
  <w:footnote w:id="123">
    <w:p w:rsidR="007A32E1" w:rsidRDefault="007A32E1" w:rsidP="006F78FA">
      <w:pPr>
        <w:pStyle w:val="FootnoteText"/>
      </w:pPr>
      <w:r>
        <w:rPr>
          <w:rStyle w:val="FootnoteReference"/>
        </w:rPr>
        <w:footnoteRef/>
      </w:r>
      <w:r>
        <w:t xml:space="preserve"> Ibid., 273.</w:t>
      </w:r>
    </w:p>
  </w:footnote>
  <w:footnote w:id="124">
    <w:p w:rsidR="007A32E1" w:rsidRDefault="007A32E1" w:rsidP="00B92D8E">
      <w:pPr>
        <w:pStyle w:val="FootnoteText"/>
      </w:pPr>
      <w:r>
        <w:rPr>
          <w:rStyle w:val="FootnoteReference"/>
        </w:rPr>
        <w:footnoteRef/>
      </w:r>
      <w:r>
        <w:t xml:space="preserve"> </w:t>
      </w:r>
      <w:bookmarkStart w:id="31" w:name="_Hlk504830356"/>
      <w:r w:rsidRPr="009C36F1">
        <w:t xml:space="preserve">Wolfgang Reinhard, "Reformation, Counter-Reformation, and the Early Modern State a Reassessment," </w:t>
      </w:r>
      <w:r w:rsidRPr="009C36F1">
        <w:rPr>
          <w:i/>
          <w:iCs/>
        </w:rPr>
        <w:t>The Catholic Historical Review</w:t>
      </w:r>
      <w:r w:rsidRPr="009C36F1">
        <w:t xml:space="preserve"> 75, no. 3 (1989): 392</w:t>
      </w:r>
      <w:r>
        <w:t>,</w:t>
      </w:r>
      <w:r w:rsidRPr="009C36F1">
        <w:t xml:space="preserve"> http://www.jstor.org/stable/25023084</w:t>
      </w:r>
      <w:bookmarkEnd w:id="31"/>
      <w:r>
        <w:t>.</w:t>
      </w:r>
    </w:p>
  </w:footnote>
  <w:footnote w:id="125">
    <w:p w:rsidR="007A32E1" w:rsidRPr="00210B06" w:rsidRDefault="007A32E1" w:rsidP="003161BB">
      <w:pPr>
        <w:pStyle w:val="FootnoteText"/>
      </w:pPr>
      <w:r>
        <w:rPr>
          <w:rStyle w:val="FootnoteReference"/>
        </w:rPr>
        <w:footnoteRef/>
      </w:r>
      <w:r>
        <w:t xml:space="preserve"> </w:t>
      </w:r>
      <w:bookmarkStart w:id="33" w:name="_Hlk512697291"/>
      <w:r>
        <w:t xml:space="preserve">Thomas </w:t>
      </w:r>
      <w:r w:rsidRPr="00210B06">
        <w:t>Müntzer</w:t>
      </w:r>
      <w:r>
        <w:t>, “Sermon Before the Princes</w:t>
      </w:r>
      <w:bookmarkStart w:id="34" w:name="_Hlk515038896"/>
      <w:r>
        <w:t xml:space="preserve">,” </w:t>
      </w:r>
      <w:r>
        <w:rPr>
          <w:i/>
        </w:rPr>
        <w:t>A Reformation Sourcebook: Documents from an Age of Debate</w:t>
      </w:r>
      <w:r>
        <w:t xml:space="preserve">, ed. Michael W. Bruening, (Toronto: University of Toronto, 2017), </w:t>
      </w:r>
      <w:bookmarkEnd w:id="33"/>
      <w:bookmarkEnd w:id="34"/>
      <w:r>
        <w:t>78.</w:t>
      </w:r>
    </w:p>
  </w:footnote>
  <w:footnote w:id="126">
    <w:p w:rsidR="007A32E1" w:rsidRDefault="007A32E1" w:rsidP="003161BB">
      <w:pPr>
        <w:pStyle w:val="FootnoteText"/>
      </w:pPr>
      <w:r>
        <w:rPr>
          <w:rStyle w:val="FootnoteReference"/>
        </w:rPr>
        <w:footnoteRef/>
      </w:r>
      <w:r>
        <w:t xml:space="preserve"> </w:t>
      </w:r>
      <w:r w:rsidRPr="00574CE7">
        <w:t xml:space="preserve">Norman Cohn, </w:t>
      </w:r>
      <w:r w:rsidRPr="00574CE7">
        <w:rPr>
          <w:i/>
        </w:rPr>
        <w:t>The Pursuit of the Millennium: Revolutionary Millenarians and Mystical Anarchists of the Middle Ages,</w:t>
      </w:r>
      <w:r w:rsidRPr="00574CE7">
        <w:t xml:space="preserve"> (New York: Oxford University Press, 1970), </w:t>
      </w:r>
      <w:r>
        <w:t>243.</w:t>
      </w:r>
    </w:p>
  </w:footnote>
  <w:footnote w:id="127">
    <w:p w:rsidR="007A32E1" w:rsidRDefault="007A32E1" w:rsidP="003161BB">
      <w:pPr>
        <w:pStyle w:val="FootnoteText"/>
      </w:pPr>
      <w:r>
        <w:rPr>
          <w:rStyle w:val="FootnoteReference"/>
        </w:rPr>
        <w:footnoteRef/>
      </w:r>
      <w:r>
        <w:t xml:space="preserve"> </w:t>
      </w:r>
      <w:r w:rsidRPr="00925356">
        <w:t xml:space="preserve">Benjamin J. Kaplan, </w:t>
      </w:r>
      <w:r w:rsidRPr="00925356">
        <w:rPr>
          <w:i/>
        </w:rPr>
        <w:t xml:space="preserve">Divided by Faith: Religious Conflict and the Practice of Toleration in Early Modern Europe </w:t>
      </w:r>
      <w:r w:rsidRPr="00925356">
        <w:t xml:space="preserve">(Cambridge: The Belknap Press, 2007), </w:t>
      </w:r>
      <w:r>
        <w:t>27.</w:t>
      </w:r>
    </w:p>
  </w:footnote>
  <w:footnote w:id="128">
    <w:p w:rsidR="007A32E1" w:rsidRDefault="007A32E1" w:rsidP="00FA564F">
      <w:pPr>
        <w:pStyle w:val="FootnoteText"/>
      </w:pPr>
      <w:r>
        <w:rPr>
          <w:rStyle w:val="FootnoteReference"/>
        </w:rPr>
        <w:footnoteRef/>
      </w:r>
      <w:r>
        <w:t xml:space="preserve"> </w:t>
      </w:r>
      <w:r w:rsidRPr="00C22181">
        <w:t xml:space="preserve">Herbert ImmenköTter, and Hans J. Hillerbrand. "Augsburg, Peace of." In </w:t>
      </w:r>
      <w:r w:rsidRPr="00C22181">
        <w:rPr>
          <w:i/>
          <w:iCs/>
        </w:rPr>
        <w:t>The Oxford Encyclopedia of the Reformation</w:t>
      </w:r>
      <w:r w:rsidRPr="00C22181">
        <w:t xml:space="preserve"> </w:t>
      </w:r>
      <w:r>
        <w:t>(</w:t>
      </w:r>
      <w:r w:rsidRPr="00C22181">
        <w:t>Oxford University Press, 1996</w:t>
      </w:r>
      <w:r>
        <w:t xml:space="preserve">), </w:t>
      </w:r>
      <w:r w:rsidRPr="00C22181">
        <w:t>http://www.oxfordreference.com.ezproxy.mtsu.edu/view/10.1093/acref/9780195064933.001.0001/acref-9780195064933-e-0076.</w:t>
      </w:r>
    </w:p>
  </w:footnote>
  <w:footnote w:id="129">
    <w:p w:rsidR="007A32E1" w:rsidRDefault="007A32E1" w:rsidP="00FA564F">
      <w:pPr>
        <w:pStyle w:val="FootnoteText"/>
      </w:pPr>
      <w:r>
        <w:rPr>
          <w:rStyle w:val="FootnoteReference"/>
        </w:rPr>
        <w:footnoteRef/>
      </w:r>
      <w:r>
        <w:t xml:space="preserve"> </w:t>
      </w:r>
      <w:r w:rsidRPr="00B37E23">
        <w:t xml:space="preserve">Benjamin J. Kaplan, </w:t>
      </w:r>
      <w:r w:rsidRPr="00B37E23">
        <w:rPr>
          <w:i/>
        </w:rPr>
        <w:t xml:space="preserve">Divided by Faith: Religious Conflict and the Practice of Toleration in Early Modern Europe </w:t>
      </w:r>
      <w:r w:rsidRPr="00B37E23">
        <w:t xml:space="preserve">(Cambridge: The Belknap Press, 2007), </w:t>
      </w:r>
      <w:r>
        <w:t>60.</w:t>
      </w:r>
    </w:p>
  </w:footnote>
  <w:footnote w:id="130">
    <w:p w:rsidR="007A32E1" w:rsidRDefault="007A32E1" w:rsidP="00FA564F">
      <w:pPr>
        <w:pStyle w:val="FootnoteText"/>
      </w:pPr>
      <w:r>
        <w:rPr>
          <w:rStyle w:val="FootnoteReference"/>
        </w:rPr>
        <w:footnoteRef/>
      </w:r>
      <w:r>
        <w:t xml:space="preserve"> Salvation (google translate).</w:t>
      </w:r>
    </w:p>
  </w:footnote>
  <w:footnote w:id="131">
    <w:p w:rsidR="007A32E1" w:rsidRDefault="007A32E1" w:rsidP="00FA564F">
      <w:pPr>
        <w:pStyle w:val="FootnoteText"/>
      </w:pPr>
      <w:r>
        <w:rPr>
          <w:rStyle w:val="FootnoteReference"/>
        </w:rPr>
        <w:footnoteRef/>
      </w:r>
      <w:r>
        <w:t xml:space="preserve"> </w:t>
      </w:r>
      <w:r w:rsidRPr="00F5533E">
        <w:t xml:space="preserve">Benjamin J. Kaplan, </w:t>
      </w:r>
      <w:r w:rsidRPr="00F5533E">
        <w:rPr>
          <w:i/>
        </w:rPr>
        <w:t xml:space="preserve">Divided by Faith: Religious Conflict and the Practice of Toleration in Early Modern Europe </w:t>
      </w:r>
      <w:r w:rsidRPr="00F5533E">
        <w:t xml:space="preserve">(Cambridge: The Belknap Press, 2007), </w:t>
      </w:r>
      <w:r>
        <w:t>71.</w:t>
      </w:r>
    </w:p>
  </w:footnote>
  <w:footnote w:id="132">
    <w:p w:rsidR="007A32E1" w:rsidRDefault="007A32E1">
      <w:pPr>
        <w:pStyle w:val="FootnoteText"/>
      </w:pPr>
      <w:r>
        <w:rPr>
          <w:rStyle w:val="FootnoteReference"/>
        </w:rPr>
        <w:footnoteRef/>
      </w:r>
      <w:r>
        <w:t xml:space="preserve"> Hsia, 54.</w:t>
      </w:r>
    </w:p>
  </w:footnote>
  <w:footnote w:id="133">
    <w:p w:rsidR="007A32E1" w:rsidRDefault="007A32E1">
      <w:pPr>
        <w:pStyle w:val="FootnoteText"/>
      </w:pPr>
      <w:r>
        <w:rPr>
          <w:rStyle w:val="FootnoteReference"/>
        </w:rPr>
        <w:footnoteRef/>
      </w:r>
      <w:r>
        <w:t xml:space="preserve"> </w:t>
      </w:r>
      <w:r w:rsidRPr="00717F81">
        <w:t xml:space="preserve">Gabriele </w:t>
      </w:r>
      <w:r w:rsidRPr="00302873">
        <w:t xml:space="preserve">Haug-Moritz, "The Holy Roman Empire, the Schmalkald League, and the Idea of Confessional Nation-Building." </w:t>
      </w:r>
      <w:r w:rsidRPr="00302873">
        <w:rPr>
          <w:i/>
          <w:iCs/>
        </w:rPr>
        <w:t>Proceedings of the American Philosophical Society</w:t>
      </w:r>
      <w:r w:rsidRPr="00302873">
        <w:t xml:space="preserve"> 152, no. 4 (2008): 4</w:t>
      </w:r>
      <w:r>
        <w:t>30</w:t>
      </w:r>
      <w:r w:rsidRPr="00302873">
        <w:t>. http://www.jstor.org/stable/40541602.</w:t>
      </w:r>
    </w:p>
  </w:footnote>
  <w:footnote w:id="134">
    <w:p w:rsidR="007A32E1" w:rsidRDefault="007A32E1">
      <w:pPr>
        <w:pStyle w:val="FootnoteText"/>
      </w:pPr>
      <w:r>
        <w:rPr>
          <w:rStyle w:val="FootnoteReference"/>
        </w:rPr>
        <w:footnoteRef/>
      </w:r>
      <w:r>
        <w:t xml:space="preserve"> Ibid.</w:t>
      </w:r>
    </w:p>
  </w:footnote>
  <w:footnote w:id="135">
    <w:p w:rsidR="007A32E1" w:rsidRDefault="007A32E1">
      <w:pPr>
        <w:pStyle w:val="FootnoteText"/>
      </w:pPr>
      <w:r>
        <w:rPr>
          <w:rStyle w:val="FootnoteReference"/>
        </w:rPr>
        <w:footnoteRef/>
      </w:r>
      <w:r>
        <w:t xml:space="preserve"> </w:t>
      </w:r>
      <w:r w:rsidRPr="00717F81">
        <w:t xml:space="preserve">Wolfgang Reinhard, "Reformation, Counter-Reformation, and the Early Modern State a Reassessment," </w:t>
      </w:r>
      <w:r w:rsidRPr="00717F81">
        <w:rPr>
          <w:i/>
          <w:iCs/>
        </w:rPr>
        <w:t>The Catholic Historical Review</w:t>
      </w:r>
      <w:r w:rsidRPr="00717F81">
        <w:t xml:space="preserve"> 75, no. 3 (1989): 3</w:t>
      </w:r>
      <w:r>
        <w:t>86</w:t>
      </w:r>
      <w:r w:rsidRPr="00F4184E">
        <w:t xml:space="preserve">, </w:t>
      </w:r>
      <w:hyperlink r:id="rId6" w:history="1">
        <w:r w:rsidRPr="00F4184E">
          <w:rPr>
            <w:rStyle w:val="Hyperlink"/>
            <w:color w:val="auto"/>
          </w:rPr>
          <w:t>http://www.jstor.org/stable/25023084</w:t>
        </w:r>
      </w:hyperlink>
      <w:r w:rsidRPr="00717F81">
        <w:t>.</w:t>
      </w:r>
      <w:r>
        <w:t xml:space="preserve"> </w:t>
      </w:r>
      <w:r w:rsidRPr="00F46F21">
        <w:t>Before going further in this discussion, it is important to note that there are a broad range of issues, such as: plague, economic crises, migration to cities, division of labor, education, and the printing press to name a few, that all had an effect on the political status of princes, magistrates and on the feudal system itself. It would be simplistic to believe that the Reformation and the resultant confessional churches were the only factor in the movement towards the modern nation-state. It is, however, a contributory element and one that is important to this thesis.</w:t>
      </w:r>
    </w:p>
  </w:footnote>
  <w:footnote w:id="136">
    <w:p w:rsidR="007A32E1" w:rsidRDefault="007A32E1">
      <w:pPr>
        <w:pStyle w:val="FootnoteText"/>
      </w:pPr>
      <w:r>
        <w:rPr>
          <w:rStyle w:val="FootnoteReference"/>
        </w:rPr>
        <w:footnoteRef/>
      </w:r>
      <w:r>
        <w:t xml:space="preserve"> Ibid</w:t>
      </w:r>
      <w:r w:rsidRPr="003A49F3">
        <w:t>.</w:t>
      </w:r>
      <w:r>
        <w:t>, 390</w:t>
      </w:r>
      <w:r w:rsidR="00ED72D2">
        <w:t>.</w:t>
      </w:r>
    </w:p>
  </w:footnote>
  <w:footnote w:id="137">
    <w:p w:rsidR="007A32E1" w:rsidRDefault="007A32E1">
      <w:pPr>
        <w:pStyle w:val="FootnoteText"/>
      </w:pPr>
      <w:r>
        <w:rPr>
          <w:rStyle w:val="FootnoteReference"/>
        </w:rPr>
        <w:footnoteRef/>
      </w:r>
      <w:r>
        <w:t xml:space="preserve"> Ibid.,</w:t>
      </w:r>
      <w:r w:rsidRPr="00717F81">
        <w:t xml:space="preserve"> 39</w:t>
      </w:r>
      <w:r>
        <w:t>6</w:t>
      </w:r>
      <w:r w:rsidRPr="00717F81">
        <w:t xml:space="preserve">. </w:t>
      </w:r>
    </w:p>
  </w:footnote>
  <w:footnote w:id="138">
    <w:p w:rsidR="007A32E1" w:rsidRDefault="007A32E1">
      <w:pPr>
        <w:pStyle w:val="FootnoteText"/>
      </w:pPr>
      <w:r>
        <w:rPr>
          <w:rStyle w:val="FootnoteReference"/>
        </w:rPr>
        <w:footnoteRef/>
      </w:r>
      <w:r>
        <w:t xml:space="preserve"> Ibid., 398.</w:t>
      </w:r>
    </w:p>
  </w:footnote>
  <w:footnote w:id="139">
    <w:p w:rsidR="007A32E1" w:rsidRDefault="007A32E1">
      <w:pPr>
        <w:pStyle w:val="FootnoteText"/>
      </w:pPr>
      <w:r>
        <w:rPr>
          <w:rStyle w:val="FootnoteReference"/>
        </w:rPr>
        <w:footnoteRef/>
      </w:r>
      <w:r>
        <w:t xml:space="preserve"> Ibid.</w:t>
      </w:r>
    </w:p>
  </w:footnote>
  <w:footnote w:id="140">
    <w:p w:rsidR="007A32E1" w:rsidRDefault="007A32E1">
      <w:pPr>
        <w:pStyle w:val="FootnoteText"/>
      </w:pPr>
      <w:r>
        <w:rPr>
          <w:rStyle w:val="FootnoteReference"/>
        </w:rPr>
        <w:footnoteRef/>
      </w:r>
      <w:r>
        <w:t xml:space="preserve"> Ibid.</w:t>
      </w:r>
    </w:p>
  </w:footnote>
  <w:footnote w:id="141">
    <w:p w:rsidR="007A32E1" w:rsidRDefault="007A32E1">
      <w:pPr>
        <w:pStyle w:val="FootnoteText"/>
      </w:pPr>
      <w:r>
        <w:rPr>
          <w:rStyle w:val="FootnoteReference"/>
        </w:rPr>
        <w:footnoteRef/>
      </w:r>
      <w:r>
        <w:t xml:space="preserve"> Ibid., 399.</w:t>
      </w:r>
    </w:p>
  </w:footnote>
  <w:footnote w:id="142">
    <w:p w:rsidR="007A32E1" w:rsidRDefault="007A32E1">
      <w:pPr>
        <w:pStyle w:val="FootnoteText"/>
      </w:pPr>
      <w:r>
        <w:rPr>
          <w:rStyle w:val="FootnoteReference"/>
        </w:rPr>
        <w:footnoteRef/>
      </w:r>
      <w:r>
        <w:t xml:space="preserve"> Ibid., 398.</w:t>
      </w:r>
    </w:p>
  </w:footnote>
  <w:footnote w:id="143">
    <w:p w:rsidR="007A32E1" w:rsidRDefault="007A32E1">
      <w:pPr>
        <w:pStyle w:val="FootnoteText"/>
      </w:pPr>
      <w:r>
        <w:rPr>
          <w:rStyle w:val="FootnoteReference"/>
        </w:rPr>
        <w:footnoteRef/>
      </w:r>
      <w:r>
        <w:t xml:space="preserve"> Ibid., 400.</w:t>
      </w:r>
    </w:p>
  </w:footnote>
  <w:footnote w:id="144">
    <w:p w:rsidR="007A32E1" w:rsidRDefault="007A32E1" w:rsidP="00FA564F">
      <w:pPr>
        <w:pStyle w:val="FootnoteText"/>
      </w:pPr>
      <w:r>
        <w:rPr>
          <w:rStyle w:val="FootnoteReference"/>
        </w:rPr>
        <w:footnoteRef/>
      </w:r>
      <w:r>
        <w:t xml:space="preserve"> </w:t>
      </w:r>
      <w:r w:rsidRPr="00653E97">
        <w:t xml:space="preserve">Robert J Knecht, </w:t>
      </w:r>
      <w:r w:rsidRPr="00653E97">
        <w:rPr>
          <w:i/>
        </w:rPr>
        <w:t>Essential Histories: The French Religious Wars1562-98</w:t>
      </w:r>
      <w:r>
        <w:rPr>
          <w:i/>
        </w:rPr>
        <w:t>,</w:t>
      </w:r>
      <w:r w:rsidRPr="00653E97">
        <w:t xml:space="preserve"> </w:t>
      </w:r>
      <w:r>
        <w:t>(</w:t>
      </w:r>
      <w:r w:rsidRPr="00653E97">
        <w:t>Long Island City: Osprey Publishing, 2002</w:t>
      </w:r>
      <w:r>
        <w:t>), 46.</w:t>
      </w:r>
    </w:p>
  </w:footnote>
  <w:footnote w:id="145">
    <w:p w:rsidR="007A32E1" w:rsidRDefault="007A32E1" w:rsidP="00FA564F">
      <w:pPr>
        <w:pStyle w:val="FootnoteText"/>
      </w:pPr>
      <w:r>
        <w:rPr>
          <w:rStyle w:val="FootnoteReference"/>
        </w:rPr>
        <w:footnoteRef/>
      </w:r>
      <w:r>
        <w:t xml:space="preserve"> Ibid.</w:t>
      </w:r>
    </w:p>
  </w:footnote>
  <w:footnote w:id="146">
    <w:p w:rsidR="007A32E1" w:rsidRDefault="007A32E1" w:rsidP="00FA564F">
      <w:pPr>
        <w:pStyle w:val="FootnoteText"/>
      </w:pPr>
      <w:r>
        <w:rPr>
          <w:rStyle w:val="FootnoteReference"/>
        </w:rPr>
        <w:footnoteRef/>
      </w:r>
      <w:r>
        <w:t xml:space="preserve"> </w:t>
      </w:r>
      <w:r w:rsidRPr="00287984">
        <w:t xml:space="preserve">Barbara </w:t>
      </w:r>
      <w:r w:rsidRPr="007506C5">
        <w:t xml:space="preserve">Diefendorf,.  “Prologue to a Massacre: Popular Unrest in Paris, 1557-1572.” The American Historical Review, Vol. 90, No. 5 (Dec., 1985). 1067-1091 </w:t>
      </w:r>
      <w:r>
        <w:t>(</w:t>
      </w:r>
      <w:r w:rsidRPr="007506C5">
        <w:t>Oxford University Press on behalf of the American Historical Association</w:t>
      </w:r>
      <w:r>
        <w:t xml:space="preserve">): 1075. </w:t>
      </w:r>
      <w:r w:rsidRPr="007506C5">
        <w:t>http://www.jstor.org/stable/1859659.</w:t>
      </w:r>
    </w:p>
  </w:footnote>
  <w:footnote w:id="147">
    <w:p w:rsidR="007A32E1" w:rsidRDefault="007A32E1" w:rsidP="00FA564F">
      <w:pPr>
        <w:pStyle w:val="FootnoteText"/>
      </w:pPr>
      <w:r>
        <w:rPr>
          <w:rStyle w:val="FootnoteReference"/>
        </w:rPr>
        <w:footnoteRef/>
      </w:r>
      <w:r>
        <w:t xml:space="preserve"> Ibid., 1071.</w:t>
      </w:r>
    </w:p>
  </w:footnote>
  <w:footnote w:id="148">
    <w:p w:rsidR="007A32E1" w:rsidRDefault="007A32E1" w:rsidP="00FA564F">
      <w:pPr>
        <w:pStyle w:val="FootnoteText"/>
      </w:pPr>
      <w:r>
        <w:rPr>
          <w:rStyle w:val="FootnoteReference"/>
        </w:rPr>
        <w:footnoteRef/>
      </w:r>
      <w:r>
        <w:t xml:space="preserve"> Ibid., 1072-74.</w:t>
      </w:r>
    </w:p>
  </w:footnote>
  <w:footnote w:id="149">
    <w:p w:rsidR="007A32E1" w:rsidRDefault="007A32E1" w:rsidP="00FA564F">
      <w:pPr>
        <w:pStyle w:val="FootnoteText"/>
      </w:pPr>
      <w:r>
        <w:rPr>
          <w:rStyle w:val="FootnoteReference"/>
        </w:rPr>
        <w:footnoteRef/>
      </w:r>
      <w:r>
        <w:t xml:space="preserve"> Ibid., 1076.</w:t>
      </w:r>
    </w:p>
  </w:footnote>
  <w:footnote w:id="150">
    <w:p w:rsidR="007A32E1" w:rsidRDefault="007A32E1" w:rsidP="00FA564F">
      <w:pPr>
        <w:pStyle w:val="FootnoteText"/>
      </w:pPr>
      <w:r>
        <w:rPr>
          <w:rStyle w:val="FootnoteReference"/>
        </w:rPr>
        <w:footnoteRef/>
      </w:r>
      <w:r>
        <w:t xml:space="preserve"> </w:t>
      </w:r>
      <w:r w:rsidRPr="00F055D6">
        <w:t xml:space="preserve">Robert J Knecht, </w:t>
      </w:r>
      <w:r w:rsidRPr="00F055D6">
        <w:rPr>
          <w:i/>
        </w:rPr>
        <w:t>Essential Histories: The French Religious Wars1562-98,</w:t>
      </w:r>
      <w:r w:rsidRPr="00F055D6">
        <w:t xml:space="preserve"> (Long Island City: Osprey Publishing, 2002)</w:t>
      </w:r>
      <w:r>
        <w:t>, 47.</w:t>
      </w:r>
    </w:p>
  </w:footnote>
  <w:footnote w:id="151">
    <w:p w:rsidR="007A32E1" w:rsidRDefault="007A32E1" w:rsidP="00FA564F">
      <w:pPr>
        <w:pStyle w:val="FootnoteText"/>
      </w:pPr>
      <w:r>
        <w:rPr>
          <w:rStyle w:val="FootnoteReference"/>
        </w:rPr>
        <w:footnoteRef/>
      </w:r>
      <w:r>
        <w:t xml:space="preserve"> Ibid., 46.</w:t>
      </w:r>
    </w:p>
  </w:footnote>
  <w:footnote w:id="152">
    <w:p w:rsidR="007A32E1" w:rsidRDefault="007A32E1" w:rsidP="00FA564F">
      <w:pPr>
        <w:pStyle w:val="FootnoteText"/>
      </w:pPr>
      <w:r>
        <w:rPr>
          <w:rStyle w:val="FootnoteReference"/>
        </w:rPr>
        <w:footnoteRef/>
      </w:r>
      <w:r>
        <w:t xml:space="preserve"> Ibid., 47.</w:t>
      </w:r>
    </w:p>
  </w:footnote>
  <w:footnote w:id="153">
    <w:p w:rsidR="007A32E1" w:rsidRDefault="007A32E1" w:rsidP="00FA564F">
      <w:pPr>
        <w:pStyle w:val="FootnoteText"/>
      </w:pPr>
      <w:r>
        <w:rPr>
          <w:rStyle w:val="FootnoteReference"/>
        </w:rPr>
        <w:footnoteRef/>
      </w:r>
      <w:r>
        <w:t xml:space="preserve"> </w:t>
      </w:r>
      <w:bookmarkStart w:id="37" w:name="_Hlk515038975"/>
      <w:r>
        <w:t xml:space="preserve">Giovanni Michiel, “Venetian Ambassador’s Report on the Saint Bartholomew’s Day Massacre, 1570,” </w:t>
      </w:r>
      <w:r w:rsidRPr="009B27E0">
        <w:rPr>
          <w:i/>
        </w:rPr>
        <w:t>A Reformation Sourcebook: Documents from an Age of Debate</w:t>
      </w:r>
      <w:r w:rsidRPr="009B27E0">
        <w:t>, ed. Michael W. Bruening, (Toronto: University of Toronto, 2017</w:t>
      </w:r>
      <w:bookmarkEnd w:id="37"/>
      <w:r w:rsidRPr="009B27E0">
        <w:t xml:space="preserve">), </w:t>
      </w:r>
      <w:r>
        <w:t>196.</w:t>
      </w:r>
    </w:p>
  </w:footnote>
  <w:footnote w:id="154">
    <w:p w:rsidR="007A32E1" w:rsidRDefault="007A32E1" w:rsidP="00FA564F">
      <w:pPr>
        <w:pStyle w:val="FootnoteText"/>
      </w:pPr>
      <w:r>
        <w:rPr>
          <w:rStyle w:val="FootnoteReference"/>
        </w:rPr>
        <w:footnoteRef/>
      </w:r>
      <w:r>
        <w:t xml:space="preserve"> Ibid., 197. </w:t>
      </w:r>
    </w:p>
  </w:footnote>
  <w:footnote w:id="155">
    <w:p w:rsidR="007A32E1" w:rsidRDefault="007A32E1" w:rsidP="00FA564F">
      <w:pPr>
        <w:pStyle w:val="FootnoteText"/>
      </w:pPr>
      <w:r>
        <w:rPr>
          <w:rStyle w:val="FootnoteReference"/>
        </w:rPr>
        <w:footnoteRef/>
      </w:r>
      <w:r>
        <w:t xml:space="preserve"> Ibid.</w:t>
      </w:r>
    </w:p>
  </w:footnote>
  <w:footnote w:id="156">
    <w:p w:rsidR="007A32E1" w:rsidRDefault="007A32E1" w:rsidP="00FA564F">
      <w:pPr>
        <w:pStyle w:val="FootnoteText"/>
      </w:pPr>
      <w:r>
        <w:rPr>
          <w:rStyle w:val="FootnoteReference"/>
        </w:rPr>
        <w:footnoteRef/>
      </w:r>
      <w:r>
        <w:t xml:space="preserve"> </w:t>
      </w:r>
      <w:r w:rsidRPr="00287984">
        <w:t xml:space="preserve">Barbara </w:t>
      </w:r>
      <w:r w:rsidRPr="0018286E">
        <w:t xml:space="preserve">Diefendorf, “Prologue to a Massacre: Popular Unrest in Paris, 1557-1572.” The American Historical Review, Vol. 90, No. 5 (Dec., 1985). 1067-1091. </w:t>
      </w:r>
      <w:r>
        <w:t>(</w:t>
      </w:r>
      <w:r w:rsidRPr="0018286E">
        <w:t>Oxford University Press on behalf of the American Historical Association</w:t>
      </w:r>
      <w:r>
        <w:t xml:space="preserve">): 1067-9, </w:t>
      </w:r>
      <w:r w:rsidRPr="0018286E">
        <w:t>http://www.jstor.org/stable/1859659.</w:t>
      </w:r>
    </w:p>
  </w:footnote>
  <w:footnote w:id="157">
    <w:p w:rsidR="007A32E1" w:rsidRDefault="007A32E1" w:rsidP="00FA564F">
      <w:pPr>
        <w:pStyle w:val="FootnoteText"/>
      </w:pPr>
      <w:r>
        <w:rPr>
          <w:rStyle w:val="FootnoteReference"/>
        </w:rPr>
        <w:footnoteRef/>
      </w:r>
      <w:r>
        <w:t xml:space="preserve"> </w:t>
      </w:r>
      <w:r w:rsidRPr="0018286E">
        <w:t xml:space="preserve">Benjamin J. Kaplan, </w:t>
      </w:r>
      <w:r w:rsidRPr="0018286E">
        <w:rPr>
          <w:i/>
        </w:rPr>
        <w:t xml:space="preserve">Divided by Faith: Religious Conflict and the Practice of Toleration in Early Modern Europe </w:t>
      </w:r>
      <w:r w:rsidRPr="0018286E">
        <w:t xml:space="preserve">(Cambridge: The Belknap Press, 2007), </w:t>
      </w:r>
      <w:r>
        <w:t>74.</w:t>
      </w:r>
    </w:p>
  </w:footnote>
  <w:footnote w:id="158">
    <w:p w:rsidR="007A32E1" w:rsidRDefault="007A32E1" w:rsidP="00FA564F">
      <w:pPr>
        <w:pStyle w:val="FootnoteText"/>
      </w:pPr>
      <w:r>
        <w:rPr>
          <w:rStyle w:val="FootnoteReference"/>
        </w:rPr>
        <w:footnoteRef/>
      </w:r>
      <w:r>
        <w:t xml:space="preserve"> Ibid.</w:t>
      </w:r>
    </w:p>
  </w:footnote>
  <w:footnote w:id="159">
    <w:p w:rsidR="007A32E1" w:rsidRDefault="007A32E1" w:rsidP="00FA564F">
      <w:pPr>
        <w:pStyle w:val="FootnoteText"/>
      </w:pPr>
      <w:r>
        <w:rPr>
          <w:rStyle w:val="FootnoteReference"/>
        </w:rPr>
        <w:footnoteRef/>
      </w:r>
      <w:r>
        <w:t xml:space="preserve"> Ibid.</w:t>
      </w:r>
    </w:p>
  </w:footnote>
  <w:footnote w:id="160">
    <w:p w:rsidR="007A32E1" w:rsidRDefault="007A32E1" w:rsidP="00FA564F">
      <w:pPr>
        <w:pStyle w:val="FootnoteText"/>
      </w:pPr>
      <w:r>
        <w:rPr>
          <w:rStyle w:val="FootnoteReference"/>
        </w:rPr>
        <w:footnoteRef/>
      </w:r>
      <w:r>
        <w:t xml:space="preserve"> Ibid., 73.</w:t>
      </w:r>
    </w:p>
  </w:footnote>
  <w:footnote w:id="161">
    <w:p w:rsidR="007A32E1" w:rsidRDefault="007A32E1" w:rsidP="00FA564F">
      <w:pPr>
        <w:pStyle w:val="FootnoteText"/>
      </w:pPr>
      <w:r>
        <w:rPr>
          <w:rStyle w:val="FootnoteReference"/>
        </w:rPr>
        <w:footnoteRef/>
      </w:r>
      <w:r>
        <w:t xml:space="preserve"> </w:t>
      </w:r>
      <w:r w:rsidRPr="0018286E">
        <w:t xml:space="preserve">Terpstra, Nicholas. </w:t>
      </w:r>
      <w:r w:rsidRPr="0018286E">
        <w:rPr>
          <w:i/>
          <w:iCs/>
        </w:rPr>
        <w:t xml:space="preserve">Religious Refugees in the Early Modern World: An Alternative History of the Reformation. </w:t>
      </w:r>
      <w:r w:rsidRPr="0018286E">
        <w:t>New York: Cambridge University Press, 2015</w:t>
      </w:r>
      <w:r>
        <w:t>, 122.</w:t>
      </w:r>
    </w:p>
  </w:footnote>
  <w:footnote w:id="162">
    <w:p w:rsidR="007A32E1" w:rsidRDefault="007A32E1" w:rsidP="00FA564F">
      <w:pPr>
        <w:pStyle w:val="FootnoteText"/>
      </w:pPr>
      <w:r>
        <w:rPr>
          <w:rStyle w:val="FootnoteReference"/>
        </w:rPr>
        <w:footnoteRef/>
      </w:r>
      <w:r>
        <w:t xml:space="preserve"> Ibid.</w:t>
      </w:r>
    </w:p>
  </w:footnote>
  <w:footnote w:id="163">
    <w:p w:rsidR="007A32E1" w:rsidRDefault="007A32E1" w:rsidP="00FA564F">
      <w:pPr>
        <w:pStyle w:val="FootnoteText"/>
      </w:pPr>
      <w:r>
        <w:rPr>
          <w:rStyle w:val="FootnoteReference"/>
        </w:rPr>
        <w:footnoteRef/>
      </w:r>
      <w:r>
        <w:t xml:space="preserve"> Ibid.</w:t>
      </w:r>
    </w:p>
  </w:footnote>
  <w:footnote w:id="164">
    <w:p w:rsidR="007A32E1" w:rsidRDefault="007A32E1" w:rsidP="00FA564F">
      <w:pPr>
        <w:pStyle w:val="FootnoteText"/>
      </w:pPr>
      <w:r>
        <w:rPr>
          <w:rStyle w:val="FootnoteReference"/>
        </w:rPr>
        <w:footnoteRef/>
      </w:r>
      <w:r w:rsidRPr="00F57FCC">
        <w:t xml:space="preserve">Wilson, Peter H. "The Causes of the Thirty Years War 1618-48." </w:t>
      </w:r>
      <w:r w:rsidRPr="00F57FCC">
        <w:rPr>
          <w:i/>
          <w:iCs/>
        </w:rPr>
        <w:t>The English Historical Review</w:t>
      </w:r>
      <w:r w:rsidRPr="00F57FCC">
        <w:t xml:space="preserve"> 123, no. 502 (2008): 55</w:t>
      </w:r>
      <w:r>
        <w:t>5,</w:t>
      </w:r>
      <w:r w:rsidRPr="00F57FCC">
        <w:t xml:space="preserve"> http://www.jstor.org/stable/20108541.</w:t>
      </w:r>
    </w:p>
  </w:footnote>
  <w:footnote w:id="165">
    <w:p w:rsidR="007A32E1" w:rsidRDefault="007A32E1" w:rsidP="00FA564F">
      <w:pPr>
        <w:pStyle w:val="FootnoteText"/>
      </w:pPr>
      <w:r>
        <w:rPr>
          <w:rStyle w:val="FootnoteReference"/>
        </w:rPr>
        <w:footnoteRef/>
      </w:r>
      <w:r>
        <w:t xml:space="preserve"> </w:t>
      </w:r>
      <w:r w:rsidRPr="001F23A3">
        <w:t xml:space="preserve">Robert J Knecht, </w:t>
      </w:r>
      <w:r w:rsidRPr="001F23A3">
        <w:rPr>
          <w:i/>
        </w:rPr>
        <w:t>Essential Histories: The French Religious Wars1562-98,</w:t>
      </w:r>
      <w:r w:rsidRPr="001F23A3">
        <w:t xml:space="preserve"> (Long Island City: Osprey Publishing, 2002),</w:t>
      </w:r>
      <w:r>
        <w:t xml:space="preserve"> 7.</w:t>
      </w:r>
    </w:p>
  </w:footnote>
  <w:footnote w:id="166">
    <w:p w:rsidR="007A32E1" w:rsidRDefault="007A32E1" w:rsidP="00FA564F">
      <w:pPr>
        <w:pStyle w:val="FootnoteText"/>
      </w:pPr>
      <w:r>
        <w:rPr>
          <w:rStyle w:val="FootnoteReference"/>
        </w:rPr>
        <w:footnoteRef/>
      </w:r>
      <w:r>
        <w:t xml:space="preserve"> </w:t>
      </w:r>
      <w:r w:rsidRPr="001F7AA8">
        <w:t xml:space="preserve">Wolfgang Reinhard, "Reformation, Counter-Reformation, and the Early Modern State a Reassessment," </w:t>
      </w:r>
      <w:r w:rsidRPr="001F7AA8">
        <w:rPr>
          <w:i/>
          <w:iCs/>
        </w:rPr>
        <w:t>The Catholic Historical Review</w:t>
      </w:r>
      <w:r w:rsidRPr="001F7AA8">
        <w:t xml:space="preserve"> 75, no. 3 (1989): 3</w:t>
      </w:r>
      <w:r>
        <w:t>84</w:t>
      </w:r>
      <w:r w:rsidRPr="001F7AA8">
        <w:t>, http://www.jstor.org/stable/25023084.</w:t>
      </w:r>
    </w:p>
  </w:footnote>
  <w:footnote w:id="167">
    <w:p w:rsidR="007A32E1" w:rsidRPr="004A2BD3" w:rsidRDefault="007A32E1" w:rsidP="00042398">
      <w:pPr>
        <w:pStyle w:val="FootnoteText"/>
      </w:pPr>
      <w:r>
        <w:rPr>
          <w:rStyle w:val="FootnoteReference"/>
        </w:rPr>
        <w:footnoteRef/>
      </w:r>
      <w:r>
        <w:t xml:space="preserve"> John R. Vile, </w:t>
      </w:r>
      <w:r>
        <w:rPr>
          <w:i/>
        </w:rPr>
        <w:t>A Companion to the United States Constitution and Its Amendments</w:t>
      </w:r>
      <w:r>
        <w:t>, 5</w:t>
      </w:r>
      <w:r w:rsidRPr="004A2BD3">
        <w:rPr>
          <w:vertAlign w:val="superscript"/>
        </w:rPr>
        <w:t>th</w:t>
      </w:r>
      <w:r>
        <w:t xml:space="preserve"> ed. (Santa Barbara: Praeger, 2010), 119.</w:t>
      </w:r>
    </w:p>
  </w:footnote>
  <w:footnote w:id="168">
    <w:p w:rsidR="007A32E1" w:rsidRDefault="007A32E1" w:rsidP="00042398">
      <w:pPr>
        <w:pStyle w:val="FootnoteText"/>
      </w:pPr>
      <w:bookmarkStart w:id="40" w:name="_Hlk525391732"/>
      <w:r>
        <w:rPr>
          <w:rStyle w:val="FootnoteReference"/>
        </w:rPr>
        <w:footnoteRef/>
      </w:r>
      <w:r>
        <w:t xml:space="preserve"> </w:t>
      </w:r>
      <w:bookmarkEnd w:id="40"/>
      <w:r>
        <w:t>Ibid.</w:t>
      </w:r>
    </w:p>
  </w:footnote>
  <w:footnote w:id="169">
    <w:p w:rsidR="007A32E1" w:rsidRDefault="007A32E1">
      <w:pPr>
        <w:pStyle w:val="FootnoteText"/>
      </w:pPr>
      <w:r>
        <w:rPr>
          <w:rStyle w:val="FootnoteReference"/>
        </w:rPr>
        <w:footnoteRef/>
      </w:r>
      <w:r>
        <w:t xml:space="preserve"> </w:t>
      </w:r>
      <w:r w:rsidRPr="00112648">
        <w:rPr>
          <w:u w:val="single"/>
        </w:rPr>
        <w:t>Everson v. Bd. of Ed. of Ewing Twp.</w:t>
      </w:r>
      <w:r w:rsidRPr="00112648">
        <w:t>, 330 U.S. 1 (1947)</w:t>
      </w:r>
      <w:r>
        <w:t xml:space="preserve"> fn. 1.</w:t>
      </w:r>
    </w:p>
  </w:footnote>
  <w:footnote w:id="170">
    <w:p w:rsidR="007A32E1" w:rsidRDefault="007A32E1">
      <w:pPr>
        <w:pStyle w:val="FootnoteText"/>
      </w:pPr>
      <w:r>
        <w:rPr>
          <w:rStyle w:val="FootnoteReference"/>
        </w:rPr>
        <w:footnoteRef/>
      </w:r>
      <w:r>
        <w:t xml:space="preserve"> </w:t>
      </w:r>
      <w:r w:rsidRPr="00CB34A7">
        <w:rPr>
          <w:u w:val="single"/>
        </w:rPr>
        <w:t>Everson v. Bd. of Ed. of Ewing Twp.</w:t>
      </w:r>
      <w:r w:rsidRPr="00CB34A7">
        <w:t xml:space="preserve">, 133 N.J.L. 350, 357, 44 A.2d 333, 338 (1945), </w:t>
      </w:r>
      <w:r w:rsidRPr="00CB34A7">
        <w:rPr>
          <w:u w:val="single"/>
        </w:rPr>
        <w:t>aff'd,</w:t>
      </w:r>
      <w:r w:rsidRPr="00CB34A7">
        <w:t xml:space="preserve"> 330 U.S. 1, 67 (1947)</w:t>
      </w:r>
      <w:r>
        <w:t>, 357.</w:t>
      </w:r>
    </w:p>
  </w:footnote>
  <w:footnote w:id="171">
    <w:p w:rsidR="007A32E1" w:rsidRDefault="007A32E1">
      <w:pPr>
        <w:pStyle w:val="FootnoteText"/>
      </w:pPr>
      <w:r>
        <w:rPr>
          <w:rStyle w:val="FootnoteReference"/>
        </w:rPr>
        <w:footnoteRef/>
      </w:r>
      <w:r>
        <w:t xml:space="preserve"> Ibid., fn. 2. Arguments could be made that the exclusion of for-profit schools fails a Constitutional test based on the Equal Protection Clause, however, this was not part of the suit and the justices did not consider it.</w:t>
      </w:r>
    </w:p>
  </w:footnote>
  <w:footnote w:id="172">
    <w:p w:rsidR="007A32E1" w:rsidRPr="006C1EF8" w:rsidRDefault="007A32E1">
      <w:pPr>
        <w:pStyle w:val="FootnoteText"/>
      </w:pPr>
      <w:r>
        <w:rPr>
          <w:rStyle w:val="FootnoteReference"/>
        </w:rPr>
        <w:footnoteRef/>
      </w:r>
      <w:r>
        <w:t xml:space="preserve"> William Starr Myers</w:t>
      </w:r>
      <w:r w:rsidRPr="006C1EF8">
        <w:rPr>
          <w:i/>
        </w:rPr>
        <w:t xml:space="preserve">, </w:t>
      </w:r>
      <w:r w:rsidRPr="006C1EF8">
        <w:rPr>
          <w:bCs/>
          <w:i/>
        </w:rPr>
        <w:t>Prominent Families of New Jersey, Volume 1</w:t>
      </w:r>
      <w:r>
        <w:rPr>
          <w:bCs/>
        </w:rPr>
        <w:t xml:space="preserve"> (Baltimore: </w:t>
      </w:r>
      <w:r w:rsidRPr="006C1EF8">
        <w:rPr>
          <w:bCs/>
        </w:rPr>
        <w:t>Genealogical Publishing Com, 2000</w:t>
      </w:r>
      <w:r>
        <w:rPr>
          <w:bCs/>
        </w:rPr>
        <w:t xml:space="preserve">): 364, </w:t>
      </w:r>
      <w:hyperlink r:id="rId7" w:history="1">
        <w:r w:rsidRPr="00C634CE">
          <w:rPr>
            <w:rStyle w:val="Hyperlink"/>
            <w:bCs/>
            <w:color w:val="auto"/>
          </w:rPr>
          <w:t>https://books.google.com</w:t>
        </w:r>
      </w:hyperlink>
      <w:r w:rsidRPr="00C634CE">
        <w:rPr>
          <w:bCs/>
        </w:rPr>
        <w:t>.</w:t>
      </w:r>
    </w:p>
  </w:footnote>
  <w:footnote w:id="173">
    <w:p w:rsidR="007A32E1" w:rsidRDefault="007A32E1" w:rsidP="000D03B5">
      <w:pPr>
        <w:pStyle w:val="FootnoteText"/>
      </w:pPr>
      <w:r>
        <w:rPr>
          <w:rStyle w:val="FootnoteReference"/>
        </w:rPr>
        <w:footnoteRef/>
      </w:r>
      <w:r>
        <w:t xml:space="preserve"> Everson v. Board of Education, 330, U.S. 1 (1947) “Syllabus” </w:t>
      </w:r>
      <w:r w:rsidRPr="006849B6">
        <w:t>https://supreme.justia.com/cases/federal/us/330/1</w:t>
      </w:r>
      <w:r>
        <w:t>.</w:t>
      </w:r>
    </w:p>
  </w:footnote>
  <w:footnote w:id="174">
    <w:p w:rsidR="007A32E1" w:rsidRDefault="007A32E1">
      <w:pPr>
        <w:pStyle w:val="FootnoteText"/>
      </w:pPr>
      <w:r>
        <w:rPr>
          <w:rStyle w:val="FootnoteReference"/>
        </w:rPr>
        <w:footnoteRef/>
      </w:r>
      <w:r>
        <w:t xml:space="preserve"> </w:t>
      </w:r>
      <w:r w:rsidRPr="002C5848">
        <w:rPr>
          <w:u w:val="single"/>
        </w:rPr>
        <w:t>Everson v. Bd. of Ed. of Ewing Twp.</w:t>
      </w:r>
      <w:r w:rsidRPr="002C5848">
        <w:t>, 330 U.S. 1</w:t>
      </w:r>
      <w:r>
        <w:t>, 17</w:t>
      </w:r>
      <w:r w:rsidRPr="002C5848">
        <w:t xml:space="preserve"> (1947)</w:t>
      </w:r>
      <w:r>
        <w:t>.</w:t>
      </w:r>
    </w:p>
  </w:footnote>
  <w:footnote w:id="175">
    <w:p w:rsidR="007A32E1" w:rsidRDefault="007A32E1">
      <w:pPr>
        <w:pStyle w:val="FootnoteText"/>
      </w:pPr>
      <w:r>
        <w:rPr>
          <w:rStyle w:val="FootnoteReference"/>
        </w:rPr>
        <w:footnoteRef/>
      </w:r>
      <w:r>
        <w:t xml:space="preserve"> Hugo Black, </w:t>
      </w:r>
      <w:r w:rsidRPr="00CA68EA">
        <w:rPr>
          <w:u w:val="single"/>
        </w:rPr>
        <w:t>Everson v. Bd. of Ed. of Ewing Twp.</w:t>
      </w:r>
      <w:r w:rsidRPr="00CA68EA">
        <w:t>, 330 U.S. 1</w:t>
      </w:r>
      <w:r>
        <w:t>, 18</w:t>
      </w:r>
      <w:r w:rsidRPr="00CA68EA">
        <w:t xml:space="preserve"> (1947)</w:t>
      </w:r>
      <w:r>
        <w:t>.</w:t>
      </w:r>
    </w:p>
  </w:footnote>
  <w:footnote w:id="176">
    <w:p w:rsidR="007A32E1" w:rsidRDefault="007A32E1">
      <w:pPr>
        <w:pStyle w:val="FootnoteText"/>
      </w:pPr>
      <w:r>
        <w:rPr>
          <w:rStyle w:val="FootnoteReference"/>
        </w:rPr>
        <w:footnoteRef/>
      </w:r>
      <w:r>
        <w:t xml:space="preserve"> </w:t>
      </w:r>
      <w:r w:rsidRPr="003D6C9B">
        <w:rPr>
          <w:u w:val="single"/>
        </w:rPr>
        <w:t>Everson v. Bd. of Ed. of Ewing Twp.</w:t>
      </w:r>
      <w:r w:rsidRPr="003D6C9B">
        <w:t>, 330 U.S. 1</w:t>
      </w:r>
      <w:r>
        <w:t>, 18</w:t>
      </w:r>
      <w:r w:rsidRPr="003D6C9B">
        <w:t xml:space="preserve"> (1947)</w:t>
      </w:r>
      <w:r>
        <w:t>.</w:t>
      </w:r>
    </w:p>
  </w:footnote>
  <w:footnote w:id="177">
    <w:p w:rsidR="007A32E1" w:rsidRDefault="007A32E1">
      <w:pPr>
        <w:pStyle w:val="FootnoteText"/>
      </w:pPr>
      <w:r>
        <w:rPr>
          <w:rStyle w:val="FootnoteReference"/>
        </w:rPr>
        <w:footnoteRef/>
      </w:r>
      <w:r>
        <w:t xml:space="preserve"> </w:t>
      </w:r>
      <w:r w:rsidRPr="006E20EB">
        <w:t>James Madison, “Memorial and Remonstrance Against Religious Assessments,” Writings 2:189</w:t>
      </w:r>
      <w:r>
        <w:t>.</w:t>
      </w:r>
      <w:r w:rsidRPr="006E20EB">
        <w:t xml:space="preserve"> (see chap. 2, n. 8)</w:t>
      </w:r>
      <w:r w:rsidR="00ED72D2">
        <w:t>.</w:t>
      </w:r>
    </w:p>
  </w:footnote>
  <w:footnote w:id="178">
    <w:p w:rsidR="007A32E1" w:rsidRDefault="007A32E1" w:rsidP="00C25C09">
      <w:pPr>
        <w:pStyle w:val="FootnoteText"/>
      </w:pPr>
      <w:r>
        <w:rPr>
          <w:rStyle w:val="FootnoteReference"/>
        </w:rPr>
        <w:footnoteRef/>
      </w:r>
      <w:r>
        <w:t xml:space="preserve"> In a longer dissertation, more time would be applied to this concept. In 1947 the world is still dealing with the aftermath of World War II and the attempted genocide of the Jews. While the holocaust is not directly attributed to religious violence, the fact that there are religious roots to persecution of the Jews and the general sentiment of ill will towards them cannot be ignored. In a larger work, the context of 1947 could no more be ignored than that of revolutionary America.</w:t>
      </w:r>
    </w:p>
  </w:footnote>
  <w:footnote w:id="179">
    <w:p w:rsidR="007A32E1" w:rsidRDefault="007A32E1" w:rsidP="00C25C09">
      <w:pPr>
        <w:pStyle w:val="FootnoteText"/>
      </w:pPr>
      <w:r>
        <w:rPr>
          <w:rStyle w:val="FootnoteReference"/>
        </w:rPr>
        <w:footnoteRef/>
      </w:r>
      <w:r>
        <w:rPr>
          <w:u w:val="single"/>
        </w:rPr>
        <w:t xml:space="preserve"> </w:t>
      </w:r>
      <w:bookmarkStart w:id="41" w:name="_Hlk525560260"/>
      <w:r w:rsidRPr="00BE12A7">
        <w:rPr>
          <w:u w:val="single"/>
        </w:rPr>
        <w:t>Everson v. Bd. of Ed. of Ewing Twp.</w:t>
      </w:r>
      <w:r w:rsidRPr="00BE12A7">
        <w:t>, 330 U.S. 1</w:t>
      </w:r>
      <w:r>
        <w:t>, 8</w:t>
      </w:r>
      <w:r w:rsidRPr="00BE12A7">
        <w:t xml:space="preserve"> (1947)</w:t>
      </w:r>
      <w:bookmarkEnd w:id="41"/>
      <w:r>
        <w:t xml:space="preserve">. </w:t>
      </w:r>
    </w:p>
  </w:footnote>
  <w:footnote w:id="180">
    <w:p w:rsidR="007A32E1" w:rsidRPr="00B83DC3" w:rsidRDefault="007A32E1" w:rsidP="00C25C09">
      <w:pPr>
        <w:pStyle w:val="FootnoteText"/>
      </w:pPr>
      <w:r>
        <w:rPr>
          <w:rStyle w:val="FootnoteReference"/>
        </w:rPr>
        <w:footnoteRef/>
      </w:r>
      <w:r>
        <w:t xml:space="preserve"> </w:t>
      </w:r>
      <w:r w:rsidRPr="00692DF5">
        <w:t xml:space="preserve">Virginia </w:t>
      </w:r>
      <w:r w:rsidRPr="006E773F">
        <w:t xml:space="preserve">Van Der Veer, "Black, Hugo: (1886–1971) U.S. Senator </w:t>
      </w:r>
      <w:r>
        <w:t>a</w:t>
      </w:r>
      <w:r w:rsidRPr="006E773F">
        <w:t xml:space="preserve">nd Supreme Court Justice." In </w:t>
      </w:r>
      <w:r w:rsidRPr="006E773F">
        <w:rPr>
          <w:i/>
          <w:iCs/>
        </w:rPr>
        <w:t>The New Encyclopedia of Southern Culture: Volume 10: Law and Politics</w:t>
      </w:r>
      <w:r w:rsidRPr="006E773F">
        <w:t xml:space="preserve">, edited by Ely James W. and Bond Bradley G., by Wilson Charles Reagan, 79-81. </w:t>
      </w:r>
      <w:r>
        <w:t>(</w:t>
      </w:r>
      <w:r w:rsidRPr="006E773F">
        <w:t>University of North Carolina Press, 2008</w:t>
      </w:r>
      <w:r>
        <w:t xml:space="preserve">): 79, </w:t>
      </w:r>
      <w:hyperlink r:id="rId8" w:history="1">
        <w:r w:rsidRPr="00B83DC3">
          <w:rPr>
            <w:rStyle w:val="Hyperlink"/>
            <w:color w:val="auto"/>
          </w:rPr>
          <w:t>http://www.jstor.org/stable/10.5149/9781469616742_ely.22</w:t>
        </w:r>
      </w:hyperlink>
      <w:r w:rsidRPr="00B83DC3">
        <w:t>.</w:t>
      </w:r>
    </w:p>
  </w:footnote>
  <w:footnote w:id="181">
    <w:p w:rsidR="007A32E1" w:rsidRDefault="007A32E1" w:rsidP="00C25C09">
      <w:pPr>
        <w:pStyle w:val="FootnoteText"/>
      </w:pPr>
      <w:r>
        <w:rPr>
          <w:rStyle w:val="FootnoteReference"/>
        </w:rPr>
        <w:footnoteRef/>
      </w:r>
      <w:r>
        <w:t xml:space="preserve"> Ibid.</w:t>
      </w:r>
    </w:p>
  </w:footnote>
  <w:footnote w:id="182">
    <w:p w:rsidR="007A32E1" w:rsidRDefault="007A32E1" w:rsidP="00C25C09">
      <w:pPr>
        <w:pStyle w:val="FootnoteText"/>
      </w:pPr>
      <w:r>
        <w:rPr>
          <w:rStyle w:val="FootnoteReference"/>
        </w:rPr>
        <w:footnoteRef/>
      </w:r>
      <w:r>
        <w:t xml:space="preserve"> </w:t>
      </w:r>
      <w:r w:rsidRPr="001E02B0">
        <w:rPr>
          <w:vertAlign w:val="superscript"/>
        </w:rPr>
        <w:footnoteRef/>
      </w:r>
      <w:r w:rsidRPr="001E02B0">
        <w:t xml:space="preserve"> Donald L. Drakeman, "Everson v. Board of Education" and the Quest for the Historical Establishment Clause, </w:t>
      </w:r>
      <w:r w:rsidRPr="001E02B0">
        <w:rPr>
          <w:i/>
        </w:rPr>
        <w:t>The American Journal of Legal History</w:t>
      </w:r>
      <w:r w:rsidRPr="001E02B0">
        <w:t xml:space="preserve">, Vol. 49, No. 2 (Apr., 2007), pp. 119-168, </w:t>
      </w:r>
      <w:r>
        <w:t>(</w:t>
      </w:r>
      <w:r w:rsidRPr="001E02B0">
        <w:t>Oxford University Press</w:t>
      </w:r>
      <w:r>
        <w:t>): 124</w:t>
      </w:r>
      <w:r w:rsidRPr="00B83DC3">
        <w:t xml:space="preserve">, </w:t>
      </w:r>
      <w:hyperlink r:id="rId9" w:history="1">
        <w:r w:rsidRPr="00B83DC3">
          <w:rPr>
            <w:rStyle w:val="Hyperlink"/>
            <w:color w:val="auto"/>
          </w:rPr>
          <w:t>https://www.jstor.org/stable/25470006</w:t>
        </w:r>
      </w:hyperlink>
      <w:r>
        <w:t>.</w:t>
      </w:r>
    </w:p>
  </w:footnote>
  <w:footnote w:id="183">
    <w:p w:rsidR="007A32E1" w:rsidRDefault="007A32E1" w:rsidP="00C25C09">
      <w:pPr>
        <w:pStyle w:val="FootnoteText"/>
      </w:pPr>
      <w:r>
        <w:rPr>
          <w:rStyle w:val="FootnoteReference"/>
        </w:rPr>
        <w:footnoteRef/>
      </w:r>
      <w:r>
        <w:t xml:space="preserve"> </w:t>
      </w:r>
      <w:r w:rsidRPr="00F8448E">
        <w:rPr>
          <w:u w:val="single"/>
        </w:rPr>
        <w:t>Everson v. Bd. of Ed. of Ewing Twp.</w:t>
      </w:r>
      <w:r w:rsidRPr="00F8448E">
        <w:t>, 330 U.S. 1</w:t>
      </w:r>
      <w:r>
        <w:t>, 45</w:t>
      </w:r>
      <w:r w:rsidRPr="00F8448E">
        <w:t xml:space="preserve"> (1947)</w:t>
      </w:r>
      <w:r>
        <w:t>.</w:t>
      </w:r>
    </w:p>
  </w:footnote>
  <w:footnote w:id="184">
    <w:p w:rsidR="007A32E1" w:rsidRDefault="007A32E1" w:rsidP="00C25C09">
      <w:pPr>
        <w:pStyle w:val="FootnoteText"/>
      </w:pPr>
      <w:bookmarkStart w:id="42" w:name="_Hlk525409146"/>
      <w:r>
        <w:rPr>
          <w:rStyle w:val="FootnoteReference"/>
        </w:rPr>
        <w:footnoteRef/>
      </w:r>
      <w:r>
        <w:t xml:space="preserve"> </w:t>
      </w:r>
      <w:r w:rsidRPr="00314382">
        <w:t xml:space="preserve">Donald L. Drakeman, "Everson v. Board of Education" and the Quest for the Historical Establishment Clause, </w:t>
      </w:r>
      <w:r w:rsidRPr="00314382">
        <w:rPr>
          <w:i/>
        </w:rPr>
        <w:t>The American Journal of Legal History</w:t>
      </w:r>
      <w:r w:rsidRPr="00314382">
        <w:t>, Vol. 49, No. 2 (Apr., 2007), pp. 119-168</w:t>
      </w:r>
      <w:r>
        <w:t xml:space="preserve"> (</w:t>
      </w:r>
      <w:r w:rsidRPr="00314382">
        <w:t>Oxford University Press</w:t>
      </w:r>
      <w:r>
        <w:t>): 121</w:t>
      </w:r>
      <w:r w:rsidRPr="00B83DC3">
        <w:t xml:space="preserve">, </w:t>
      </w:r>
      <w:hyperlink r:id="rId10" w:history="1">
        <w:r w:rsidRPr="00B83DC3">
          <w:rPr>
            <w:rStyle w:val="Hyperlink"/>
            <w:color w:val="auto"/>
          </w:rPr>
          <w:t>https://www.jstor.org/stable/25470006</w:t>
        </w:r>
      </w:hyperlink>
      <w:r>
        <w:rPr>
          <w:rStyle w:val="Hyperlink"/>
        </w:rPr>
        <w:t>.</w:t>
      </w:r>
    </w:p>
    <w:bookmarkEnd w:id="42"/>
  </w:footnote>
  <w:footnote w:id="185">
    <w:p w:rsidR="007A32E1" w:rsidRDefault="007A32E1" w:rsidP="00C25C09">
      <w:pPr>
        <w:pStyle w:val="FootnoteText"/>
      </w:pPr>
      <w:r>
        <w:rPr>
          <w:rStyle w:val="FootnoteReference"/>
        </w:rPr>
        <w:footnoteRef/>
      </w:r>
      <w:r>
        <w:t xml:space="preserve"> </w:t>
      </w:r>
      <w:r w:rsidRPr="00FD7E3F">
        <w:t>Brief Amici Curiae of National Council of Catholic Men and National Council of Catholic Women</w:t>
      </w:r>
      <w:r>
        <w:t xml:space="preserve"> </w:t>
      </w:r>
      <w:r w:rsidRPr="00BD2FB5">
        <w:t>Everson v. Bd. of Educ. of the Tp. of Ewing, 1946 WL 50129 (U.S.), i (U.S., 2006)</w:t>
      </w:r>
      <w:r>
        <w:t>, 2.</w:t>
      </w:r>
    </w:p>
  </w:footnote>
  <w:footnote w:id="186">
    <w:p w:rsidR="007A32E1" w:rsidRDefault="007A32E1" w:rsidP="00C25C09">
      <w:pPr>
        <w:pStyle w:val="FootnoteText"/>
      </w:pPr>
      <w:r>
        <w:rPr>
          <w:rStyle w:val="FootnoteReference"/>
        </w:rPr>
        <w:footnoteRef/>
      </w:r>
      <w:r>
        <w:t xml:space="preserve"> </w:t>
      </w:r>
      <w:r w:rsidRPr="00FD7E3F">
        <w:t>Brief of the General Conference of Seventh-Day Adventists and the Joint Conference Committee on Public Relations Representing the Southern Baptist Convention, the Northern Baptist Convention, the National Baptist Convention, Inc. Amici Curiae.</w:t>
      </w:r>
      <w:r>
        <w:t xml:space="preserve"> </w:t>
      </w:r>
      <w:r w:rsidRPr="009C2C70">
        <w:t>Everson v. Bd. of Educ. of the Tp. of Ewing, 1946 WL 50122 (U.S.), 15</w:t>
      </w:r>
      <w:r>
        <w:t>.</w:t>
      </w:r>
    </w:p>
  </w:footnote>
  <w:footnote w:id="187">
    <w:p w:rsidR="007A32E1" w:rsidRPr="00D97CD4" w:rsidRDefault="007A32E1">
      <w:pPr>
        <w:pStyle w:val="FootnoteText"/>
      </w:pPr>
      <w:r>
        <w:rPr>
          <w:rStyle w:val="FootnoteReference"/>
        </w:rPr>
        <w:footnoteRef/>
      </w:r>
      <w:r>
        <w:t xml:space="preserve"> </w:t>
      </w:r>
      <w:bookmarkStart w:id="43" w:name="_Hlk524980349"/>
      <w:r>
        <w:t xml:space="preserve">Roger K. Newman, </w:t>
      </w:r>
      <w:r w:rsidRPr="00D97CD4">
        <w:rPr>
          <w:i/>
        </w:rPr>
        <w:t>Hugo Black: A Biograph</w:t>
      </w:r>
      <w:r>
        <w:rPr>
          <w:i/>
        </w:rPr>
        <w:t xml:space="preserve">y </w:t>
      </w:r>
      <w:r>
        <w:t>(New York: Pantheon Books, 1994), 3</w:t>
      </w:r>
      <w:bookmarkEnd w:id="43"/>
      <w:r>
        <w:t>.</w:t>
      </w:r>
    </w:p>
  </w:footnote>
  <w:footnote w:id="188">
    <w:p w:rsidR="007A32E1" w:rsidRDefault="007A32E1">
      <w:pPr>
        <w:pStyle w:val="FootnoteText"/>
      </w:pPr>
      <w:r>
        <w:rPr>
          <w:rStyle w:val="FootnoteReference"/>
        </w:rPr>
        <w:footnoteRef/>
      </w:r>
      <w:r>
        <w:t xml:space="preserve"> Earl Warren, “A Tribute to Hugo L. Black,” </w:t>
      </w:r>
      <w:r w:rsidRPr="00465E7F">
        <w:rPr>
          <w:i/>
          <w:iCs/>
        </w:rPr>
        <w:t>Harvard Law Review</w:t>
      </w:r>
      <w:r w:rsidRPr="00465E7F">
        <w:t xml:space="preserve"> 85, no. 1 (1971): 1-2. http://www.jstor.org/stable/1339707.</w:t>
      </w:r>
    </w:p>
  </w:footnote>
  <w:footnote w:id="189">
    <w:p w:rsidR="007A32E1" w:rsidRDefault="007A32E1">
      <w:pPr>
        <w:pStyle w:val="FootnoteText"/>
      </w:pPr>
      <w:r>
        <w:rPr>
          <w:rStyle w:val="FootnoteReference"/>
        </w:rPr>
        <w:footnoteRef/>
      </w:r>
      <w:r>
        <w:t xml:space="preserve"> Hugo Black, quoted in </w:t>
      </w:r>
      <w:r w:rsidRPr="00847312">
        <w:t>Michael Paris</w:t>
      </w:r>
      <w:r>
        <w:t xml:space="preserve">, </w:t>
      </w:r>
      <w:r w:rsidRPr="00847312">
        <w:t>Kevin J. McMahon</w:t>
      </w:r>
      <w:r>
        <w:t xml:space="preserve">, </w:t>
      </w:r>
      <w:r w:rsidRPr="005F330C">
        <w:t xml:space="preserve">“Absolutism and Democracy: Hugo L. Black’s Free Speech Jurisprudence.” In: Knowles H.J., Lichtman S.B. (eds) </w:t>
      </w:r>
      <w:r w:rsidRPr="005F330C">
        <w:rPr>
          <w:i/>
        </w:rPr>
        <w:t>Judging Free Speech</w:t>
      </w:r>
      <w:r w:rsidRPr="005F330C">
        <w:t>. New York: Palgrave Macmillan, 2015</w:t>
      </w:r>
      <w:r w:rsidRPr="00C634CE">
        <w:t xml:space="preserve">, </w:t>
      </w:r>
      <w:hyperlink r:id="rId11" w:anchor="citeas" w:history="1">
        <w:r w:rsidRPr="00C634CE">
          <w:rPr>
            <w:rStyle w:val="Hyperlink"/>
            <w:color w:val="auto"/>
          </w:rPr>
          <w:t>https://link.springer.com/chapter/10.1007/978-1-137-41262-1_4#citeas</w:t>
        </w:r>
      </w:hyperlink>
      <w:r w:rsidRPr="00C634CE">
        <w:t xml:space="preserve">. </w:t>
      </w:r>
    </w:p>
  </w:footnote>
  <w:footnote w:id="190">
    <w:p w:rsidR="007A32E1" w:rsidRDefault="007A32E1">
      <w:pPr>
        <w:pStyle w:val="FootnoteText"/>
      </w:pPr>
      <w:r>
        <w:rPr>
          <w:rStyle w:val="FootnoteReference"/>
        </w:rPr>
        <w:footnoteRef/>
      </w:r>
      <w:r>
        <w:t xml:space="preserve"> </w:t>
      </w:r>
      <w:r w:rsidRPr="009B50E7">
        <w:rPr>
          <w:u w:val="single"/>
        </w:rPr>
        <w:t>Adamson v. People of State of California</w:t>
      </w:r>
      <w:r w:rsidRPr="009B50E7">
        <w:t>, 332 U.S. 46 (1947)</w:t>
      </w:r>
      <w:r>
        <w:t>.</w:t>
      </w:r>
    </w:p>
  </w:footnote>
  <w:footnote w:id="191">
    <w:p w:rsidR="007A32E1" w:rsidRDefault="007A32E1">
      <w:pPr>
        <w:pStyle w:val="FootnoteText"/>
      </w:pPr>
      <w:r>
        <w:rPr>
          <w:rStyle w:val="FootnoteReference"/>
        </w:rPr>
        <w:footnoteRef/>
      </w:r>
      <w:r>
        <w:t xml:space="preserve"> </w:t>
      </w:r>
      <w:bookmarkStart w:id="44" w:name="_Hlk525402872"/>
      <w:r w:rsidRPr="00692DF5">
        <w:t xml:space="preserve">Virginia </w:t>
      </w:r>
      <w:r w:rsidRPr="006E773F">
        <w:t xml:space="preserve">Van Der Veer, "Black, Hugo: (1886–1971) U.S. Senator </w:t>
      </w:r>
      <w:r>
        <w:t>a</w:t>
      </w:r>
      <w:r w:rsidRPr="006E773F">
        <w:t xml:space="preserve">nd Supreme Court Justice." In </w:t>
      </w:r>
      <w:r w:rsidRPr="006E773F">
        <w:rPr>
          <w:i/>
          <w:iCs/>
        </w:rPr>
        <w:t>The New Encyclopedia of Southern Culture: Volume 10: Law and Politics</w:t>
      </w:r>
      <w:r w:rsidRPr="006E773F">
        <w:t>, edited by Ely James W. and Bond Bradley G., by Wilson Charles Reagan, 79-8</w:t>
      </w:r>
      <w:r>
        <w:t>1</w:t>
      </w:r>
      <w:r w:rsidRPr="006E773F">
        <w:t xml:space="preserve"> </w:t>
      </w:r>
      <w:r>
        <w:t>(</w:t>
      </w:r>
      <w:r w:rsidRPr="006E773F">
        <w:t>University of North Carolina Press, 2008</w:t>
      </w:r>
      <w:r>
        <w:t>): 79,</w:t>
      </w:r>
      <w:r w:rsidRPr="006E773F">
        <w:t xml:space="preserve"> </w:t>
      </w:r>
      <w:hyperlink r:id="rId12" w:history="1">
        <w:r w:rsidRPr="00C634CE">
          <w:rPr>
            <w:rStyle w:val="Hyperlink"/>
            <w:color w:val="auto"/>
          </w:rPr>
          <w:t>http://www.jstor.org/stable/10.5149/9781469616742_ely.22</w:t>
        </w:r>
      </w:hyperlink>
      <w:bookmarkEnd w:id="44"/>
      <w:r>
        <w:t>.</w:t>
      </w:r>
    </w:p>
  </w:footnote>
  <w:footnote w:id="192">
    <w:p w:rsidR="007A32E1" w:rsidRDefault="007A32E1">
      <w:pPr>
        <w:pStyle w:val="FootnoteText"/>
      </w:pPr>
      <w:r>
        <w:rPr>
          <w:rStyle w:val="FootnoteReference"/>
        </w:rPr>
        <w:footnoteRef/>
      </w:r>
      <w:r>
        <w:t xml:space="preserve"> </w:t>
      </w:r>
      <w:r w:rsidRPr="00BB2BF5">
        <w:t xml:space="preserve">Roger K. Newman, </w:t>
      </w:r>
      <w:r w:rsidRPr="00BB2BF5">
        <w:rPr>
          <w:i/>
        </w:rPr>
        <w:t xml:space="preserve">Hugo Black: A Biography </w:t>
      </w:r>
      <w:r w:rsidRPr="00BB2BF5">
        <w:t xml:space="preserve">(New York: Pantheon Books, 1994), </w:t>
      </w:r>
      <w:r>
        <w:t>6.</w:t>
      </w:r>
    </w:p>
  </w:footnote>
  <w:footnote w:id="193">
    <w:p w:rsidR="007A32E1" w:rsidRPr="00C634CE" w:rsidRDefault="007A32E1">
      <w:pPr>
        <w:pStyle w:val="FootnoteText"/>
      </w:pPr>
      <w:r>
        <w:rPr>
          <w:rStyle w:val="FootnoteReference"/>
        </w:rPr>
        <w:footnoteRef/>
      </w:r>
      <w:r>
        <w:t xml:space="preserve"> </w:t>
      </w:r>
      <w:r w:rsidRPr="00BB2BF5">
        <w:t xml:space="preserve">Barbara A. </w:t>
      </w:r>
      <w:r>
        <w:t xml:space="preserve"> </w:t>
      </w:r>
      <w:r w:rsidRPr="00BB2BF5">
        <w:t>Perry, "Justice Hugo Black and the "Wall of Separation Between Church and State</w:t>
      </w:r>
      <w:r>
        <w:t>,</w:t>
      </w:r>
      <w:r w:rsidRPr="00BB2BF5">
        <w:t xml:space="preserve">" </w:t>
      </w:r>
      <w:r w:rsidRPr="00BB2BF5">
        <w:rPr>
          <w:i/>
          <w:iCs/>
        </w:rPr>
        <w:t>Journal of Church and State</w:t>
      </w:r>
      <w:r w:rsidRPr="00BB2BF5">
        <w:t xml:space="preserve"> 31, no. 1 (1989): 5</w:t>
      </w:r>
      <w:r>
        <w:t>8,</w:t>
      </w:r>
      <w:r w:rsidRPr="00BB2BF5">
        <w:t xml:space="preserve"> </w:t>
      </w:r>
      <w:hyperlink r:id="rId13" w:history="1">
        <w:r w:rsidRPr="00C634CE">
          <w:rPr>
            <w:rStyle w:val="Hyperlink"/>
            <w:color w:val="auto"/>
          </w:rPr>
          <w:t>http://www.jstor.org/stable/23917624</w:t>
        </w:r>
      </w:hyperlink>
      <w:r w:rsidRPr="00C634CE">
        <w:t>.</w:t>
      </w:r>
    </w:p>
  </w:footnote>
  <w:footnote w:id="194">
    <w:p w:rsidR="007A32E1" w:rsidRDefault="007A32E1">
      <w:pPr>
        <w:pStyle w:val="FootnoteText"/>
      </w:pPr>
      <w:r>
        <w:rPr>
          <w:rStyle w:val="FootnoteReference"/>
        </w:rPr>
        <w:footnoteRef/>
      </w:r>
      <w:r>
        <w:t xml:space="preserve"> </w:t>
      </w:r>
      <w:bookmarkStart w:id="45" w:name="_Hlk525406819"/>
      <w:r>
        <w:t>Ibid.,</w:t>
      </w:r>
      <w:r w:rsidRPr="00C81CA5">
        <w:t xml:space="preserve"> </w:t>
      </w:r>
      <w:bookmarkEnd w:id="45"/>
      <w:r w:rsidRPr="00C81CA5">
        <w:t>5</w:t>
      </w:r>
      <w:r>
        <w:t>9.</w:t>
      </w:r>
    </w:p>
  </w:footnote>
  <w:footnote w:id="195">
    <w:p w:rsidR="007A32E1" w:rsidRDefault="007A32E1">
      <w:pPr>
        <w:pStyle w:val="FootnoteText"/>
      </w:pPr>
      <w:r>
        <w:rPr>
          <w:rStyle w:val="FootnoteReference"/>
        </w:rPr>
        <w:footnoteRef/>
      </w:r>
      <w:r>
        <w:t xml:space="preserve"> Black was far more connected with Jefferson than Madison and several of the articles which I read noted that he had a considerable number of Jefferson writings in his library but few of Madison’s.</w:t>
      </w:r>
    </w:p>
  </w:footnote>
  <w:footnote w:id="196">
    <w:p w:rsidR="007A32E1" w:rsidRDefault="007A32E1">
      <w:pPr>
        <w:pStyle w:val="FootnoteText"/>
      </w:pPr>
      <w:r>
        <w:rPr>
          <w:rStyle w:val="FootnoteReference"/>
        </w:rPr>
        <w:footnoteRef/>
      </w:r>
      <w:r>
        <w:t xml:space="preserve"> </w:t>
      </w:r>
      <w:r w:rsidRPr="00D538BC">
        <w:t xml:space="preserve">Roger K. Newman, </w:t>
      </w:r>
      <w:r w:rsidRPr="00D538BC">
        <w:rPr>
          <w:i/>
        </w:rPr>
        <w:t xml:space="preserve">Hugo Black: A Biography </w:t>
      </w:r>
      <w:r w:rsidRPr="00D538BC">
        <w:t>(New York: Pantheon Books, 1994),</w:t>
      </w:r>
      <w:r>
        <w:t xml:space="preserve"> 233-4.</w:t>
      </w:r>
    </w:p>
  </w:footnote>
  <w:footnote w:id="197">
    <w:p w:rsidR="007A32E1" w:rsidRDefault="007A32E1">
      <w:pPr>
        <w:pStyle w:val="FootnoteText"/>
      </w:pPr>
      <w:r>
        <w:rPr>
          <w:rStyle w:val="FootnoteReference"/>
        </w:rPr>
        <w:footnoteRef/>
      </w:r>
      <w:r>
        <w:t xml:space="preserve"> </w:t>
      </w:r>
      <w:r w:rsidRPr="008E5841">
        <w:t xml:space="preserve">Barbara A.  Perry, "Justice Hugo Black and the "Wall of Separation Between Church and State," </w:t>
      </w:r>
      <w:r w:rsidRPr="008E5841">
        <w:rPr>
          <w:i/>
          <w:iCs/>
        </w:rPr>
        <w:t>Journal of Church and State</w:t>
      </w:r>
      <w:r w:rsidRPr="008E5841">
        <w:t xml:space="preserve"> 31, no. 1 (1989): </w:t>
      </w:r>
      <w:r>
        <w:t>60,</w:t>
      </w:r>
      <w:r w:rsidRPr="008E5841">
        <w:t xml:space="preserve"> </w:t>
      </w:r>
      <w:hyperlink r:id="rId14" w:history="1">
        <w:r w:rsidRPr="00C634CE">
          <w:rPr>
            <w:rStyle w:val="Hyperlink"/>
            <w:color w:val="auto"/>
          </w:rPr>
          <w:t>http://www.jstor.org/stable/23917624</w:t>
        </w:r>
      </w:hyperlink>
      <w:r>
        <w:t>.</w:t>
      </w:r>
    </w:p>
  </w:footnote>
  <w:footnote w:id="198">
    <w:p w:rsidR="007A32E1" w:rsidRPr="00682785" w:rsidRDefault="007A32E1">
      <w:pPr>
        <w:pStyle w:val="FootnoteText"/>
      </w:pPr>
      <w:r>
        <w:rPr>
          <w:rStyle w:val="FootnoteReference"/>
        </w:rPr>
        <w:footnoteRef/>
      </w:r>
      <w:r>
        <w:t xml:space="preserve"> Howard Ball, </w:t>
      </w:r>
      <w:r>
        <w:rPr>
          <w:i/>
        </w:rPr>
        <w:t>Hugo Black: Cold Steel Warrior</w:t>
      </w:r>
      <w:r>
        <w:t xml:space="preserve"> (New York: Oxford University Press, 1996), 14.</w:t>
      </w:r>
      <w:r w:rsidRPr="008446CC">
        <w:rPr>
          <w:sz w:val="24"/>
          <w:szCs w:val="22"/>
        </w:rPr>
        <w:t xml:space="preserve"> </w:t>
      </w:r>
      <w:r>
        <w:rPr>
          <w:sz w:val="24"/>
          <w:szCs w:val="22"/>
        </w:rPr>
        <w:t>T</w:t>
      </w:r>
      <w:r w:rsidRPr="008446CC">
        <w:t>he other members being Justices William O. Douglas, Frank Murphy, and Wiley Rutledge</w:t>
      </w:r>
      <w:r>
        <w:t>.</w:t>
      </w:r>
    </w:p>
  </w:footnote>
  <w:footnote w:id="199">
    <w:p w:rsidR="007A32E1" w:rsidRDefault="007A32E1">
      <w:pPr>
        <w:pStyle w:val="FootnoteText"/>
      </w:pPr>
      <w:r>
        <w:rPr>
          <w:rStyle w:val="FootnoteReference"/>
        </w:rPr>
        <w:footnoteRef/>
      </w:r>
      <w:r>
        <w:t xml:space="preserve"> </w:t>
      </w:r>
      <w:r w:rsidRPr="00A2308C">
        <w:t xml:space="preserve">Donald L. Drakeman, "Everson v. Board of Education" and the Quest for the Historical Establishment Clause, </w:t>
      </w:r>
      <w:r w:rsidRPr="00A2308C">
        <w:rPr>
          <w:i/>
        </w:rPr>
        <w:t>The American Journal of Legal History</w:t>
      </w:r>
      <w:r w:rsidRPr="00A2308C">
        <w:t xml:space="preserve">, Vol. 49, No. 2 (Apr., 2007), pp. 119-168, </w:t>
      </w:r>
      <w:r>
        <w:t>(</w:t>
      </w:r>
      <w:r w:rsidRPr="00A2308C">
        <w:t>Oxford University Press</w:t>
      </w:r>
      <w:r>
        <w:t xml:space="preserve">): 121, </w:t>
      </w:r>
      <w:hyperlink r:id="rId15" w:history="1">
        <w:r w:rsidRPr="00B83DC3">
          <w:rPr>
            <w:rStyle w:val="Hyperlink"/>
            <w:color w:val="auto"/>
          </w:rPr>
          <w:t>https://www.jstor.org/stable/25470006</w:t>
        </w:r>
      </w:hyperlink>
      <w:r w:rsidRPr="00B83DC3">
        <w:t>.</w:t>
      </w:r>
    </w:p>
  </w:footnote>
  <w:footnote w:id="200">
    <w:p w:rsidR="007A32E1" w:rsidRDefault="007A32E1">
      <w:pPr>
        <w:pStyle w:val="FootnoteText"/>
      </w:pPr>
      <w:r>
        <w:rPr>
          <w:rStyle w:val="FootnoteReference"/>
        </w:rPr>
        <w:footnoteRef/>
      </w:r>
      <w:r>
        <w:t xml:space="preserve"> For the purpose of this discussion I have skipped over Justice Jackson’s dissent as he does not reference Madison’s </w:t>
      </w:r>
      <w:r w:rsidRPr="00C136EB">
        <w:rPr>
          <w:i/>
        </w:rPr>
        <w:t>Memorial and Remonstrance</w:t>
      </w:r>
      <w:r>
        <w:t>.</w:t>
      </w:r>
    </w:p>
  </w:footnote>
  <w:footnote w:id="201">
    <w:p w:rsidR="007A32E1" w:rsidRDefault="007A32E1">
      <w:pPr>
        <w:pStyle w:val="FootnoteText"/>
      </w:pPr>
      <w:r>
        <w:rPr>
          <w:rStyle w:val="FootnoteReference"/>
        </w:rPr>
        <w:footnoteRef/>
      </w:r>
      <w:r w:rsidRPr="00BD1752">
        <w:rPr>
          <w:u w:val="single"/>
        </w:rPr>
        <w:t>Everson v. Bd. of Ed. of Ewing Twp.</w:t>
      </w:r>
      <w:r w:rsidRPr="00BD1752">
        <w:t xml:space="preserve">, 330 U.S. 1, </w:t>
      </w:r>
      <w:r>
        <w:t>11</w:t>
      </w:r>
      <w:r w:rsidRPr="00BD1752">
        <w:t xml:space="preserve"> (1947)</w:t>
      </w:r>
      <w:r>
        <w:t xml:space="preserve">. </w:t>
      </w:r>
    </w:p>
  </w:footnote>
  <w:footnote w:id="202">
    <w:p w:rsidR="007A32E1" w:rsidRDefault="007A32E1">
      <w:pPr>
        <w:pStyle w:val="FootnoteText"/>
      </w:pPr>
      <w:r w:rsidRPr="00957FDD">
        <w:rPr>
          <w:rStyle w:val="FootnoteReference"/>
        </w:rPr>
        <w:footnoteRef/>
      </w:r>
      <w:r w:rsidRPr="00957FDD">
        <w:t xml:space="preserve"> Ibid.,</w:t>
      </w:r>
      <w:r>
        <w:t xml:space="preserve"> 12.</w:t>
      </w:r>
    </w:p>
  </w:footnote>
  <w:footnote w:id="203">
    <w:p w:rsidR="007A32E1" w:rsidRDefault="007A32E1">
      <w:pPr>
        <w:pStyle w:val="FootnoteText"/>
      </w:pPr>
      <w:r>
        <w:rPr>
          <w:rStyle w:val="FootnoteReference"/>
        </w:rPr>
        <w:footnoteRef/>
      </w:r>
      <w:r>
        <w:t xml:space="preserve"> </w:t>
      </w:r>
      <w:bookmarkStart w:id="46" w:name="_Hlk525816370"/>
      <w:r w:rsidRPr="0008494F">
        <w:t>James Madison, “Memorial and Remonstrance Against Religious Assessments,” Writings 2:184</w:t>
      </w:r>
      <w:r>
        <w:t>-91.</w:t>
      </w:r>
      <w:r w:rsidRPr="0008494F">
        <w:t xml:space="preserve"> (see chap. </w:t>
      </w:r>
      <w:r>
        <w:t>1</w:t>
      </w:r>
      <w:r w:rsidRPr="0008494F">
        <w:t>, n. 8)</w:t>
      </w:r>
      <w:r w:rsidR="00ED72D2">
        <w:t>.</w:t>
      </w:r>
    </w:p>
    <w:bookmarkEnd w:id="46"/>
  </w:footnote>
  <w:footnote w:id="204">
    <w:p w:rsidR="007A32E1" w:rsidRDefault="007A32E1">
      <w:pPr>
        <w:pStyle w:val="FootnoteText"/>
      </w:pPr>
      <w:r>
        <w:rPr>
          <w:rStyle w:val="FootnoteReference"/>
        </w:rPr>
        <w:footnoteRef/>
      </w:r>
      <w:r>
        <w:t xml:space="preserve"> </w:t>
      </w:r>
      <w:bookmarkStart w:id="47" w:name="_Hlk525671293"/>
      <w:r w:rsidRPr="00C136EB">
        <w:rPr>
          <w:u w:val="single"/>
        </w:rPr>
        <w:t>Everson v. Bd. of Ed. of Ewing Twp.</w:t>
      </w:r>
      <w:r w:rsidRPr="00C136EB">
        <w:t>, 330 U.S. 1,</w:t>
      </w:r>
      <w:r>
        <w:t xml:space="preserve"> 31-2</w:t>
      </w:r>
      <w:r w:rsidRPr="00C136EB">
        <w:t xml:space="preserve"> (1947)</w:t>
      </w:r>
      <w:bookmarkEnd w:id="47"/>
      <w:r>
        <w:t>.</w:t>
      </w:r>
    </w:p>
  </w:footnote>
  <w:footnote w:id="205">
    <w:p w:rsidR="007A32E1" w:rsidRDefault="007A32E1">
      <w:pPr>
        <w:pStyle w:val="FootnoteText"/>
      </w:pPr>
      <w:r>
        <w:rPr>
          <w:rStyle w:val="FootnoteReference"/>
        </w:rPr>
        <w:footnoteRef/>
      </w:r>
      <w:r>
        <w:t xml:space="preserve"> Ibid., 34.</w:t>
      </w:r>
    </w:p>
  </w:footnote>
  <w:footnote w:id="206">
    <w:p w:rsidR="007A32E1" w:rsidRDefault="007A32E1">
      <w:pPr>
        <w:pStyle w:val="FootnoteText"/>
      </w:pPr>
      <w:r>
        <w:rPr>
          <w:rStyle w:val="FootnoteReference"/>
        </w:rPr>
        <w:footnoteRef/>
      </w:r>
      <w:r>
        <w:t xml:space="preserve"> Ibid., 37.</w:t>
      </w:r>
    </w:p>
  </w:footnote>
  <w:footnote w:id="207">
    <w:p w:rsidR="007A32E1" w:rsidRDefault="007A32E1">
      <w:pPr>
        <w:pStyle w:val="FootnoteText"/>
      </w:pPr>
      <w:r>
        <w:rPr>
          <w:rStyle w:val="FootnoteReference"/>
        </w:rPr>
        <w:footnoteRef/>
      </w:r>
      <w:r>
        <w:t xml:space="preserve"> Ibid., 40.</w:t>
      </w:r>
    </w:p>
  </w:footnote>
  <w:footnote w:id="208">
    <w:p w:rsidR="007A32E1" w:rsidRDefault="007A32E1">
      <w:pPr>
        <w:pStyle w:val="FootnoteText"/>
      </w:pPr>
      <w:r w:rsidRPr="00A22129">
        <w:rPr>
          <w:rStyle w:val="FootnoteReference"/>
        </w:rPr>
        <w:footnoteRef/>
      </w:r>
      <w:r>
        <w:t xml:space="preserve"> Ibid.</w:t>
      </w:r>
    </w:p>
  </w:footnote>
  <w:footnote w:id="209">
    <w:p w:rsidR="007A32E1" w:rsidRDefault="007A32E1">
      <w:pPr>
        <w:pStyle w:val="FootnoteText"/>
      </w:pPr>
      <w:r>
        <w:rPr>
          <w:rStyle w:val="FootnoteReference"/>
        </w:rPr>
        <w:footnoteRef/>
      </w:r>
      <w:r>
        <w:t xml:space="preserve"> </w:t>
      </w:r>
      <w:r w:rsidRPr="00692DF5">
        <w:rPr>
          <w:u w:val="single"/>
        </w:rPr>
        <w:t>Everson v. Bd. of Ed. of Ewing Twp.</w:t>
      </w:r>
      <w:r w:rsidRPr="00692DF5">
        <w:t xml:space="preserve">, 330 U.S. 1, </w:t>
      </w:r>
      <w:r>
        <w:t>46</w:t>
      </w:r>
      <w:r w:rsidRPr="00692DF5">
        <w:t xml:space="preserve"> (1947)</w:t>
      </w:r>
      <w:r>
        <w:t>.</w:t>
      </w:r>
    </w:p>
  </w:footnote>
  <w:footnote w:id="210">
    <w:p w:rsidR="007A32E1" w:rsidRDefault="007A32E1">
      <w:pPr>
        <w:pStyle w:val="FootnoteText"/>
      </w:pPr>
      <w:r>
        <w:rPr>
          <w:rStyle w:val="FootnoteReference"/>
        </w:rPr>
        <w:footnoteRef/>
      </w:r>
      <w:r>
        <w:t xml:space="preserve"> Ibid., 48.</w:t>
      </w:r>
    </w:p>
  </w:footnote>
  <w:footnote w:id="211">
    <w:p w:rsidR="007A32E1" w:rsidRDefault="007A32E1">
      <w:pPr>
        <w:pStyle w:val="FootnoteText"/>
      </w:pPr>
      <w:r>
        <w:rPr>
          <w:rStyle w:val="FootnoteReference"/>
        </w:rPr>
        <w:footnoteRef/>
      </w:r>
      <w:r>
        <w:t xml:space="preserve"> Ibid., 59.</w:t>
      </w:r>
    </w:p>
  </w:footnote>
  <w:footnote w:id="212">
    <w:p w:rsidR="007A32E1" w:rsidRDefault="007A32E1">
      <w:pPr>
        <w:pStyle w:val="FootnoteText"/>
      </w:pPr>
      <w:r>
        <w:rPr>
          <w:rStyle w:val="FootnoteReference"/>
        </w:rPr>
        <w:footnoteRef/>
      </w:r>
      <w:r>
        <w:t xml:space="preserve"> Ibid., 54.</w:t>
      </w:r>
    </w:p>
  </w:footnote>
  <w:footnote w:id="213">
    <w:p w:rsidR="007A32E1" w:rsidRDefault="007A32E1">
      <w:pPr>
        <w:pStyle w:val="FootnoteText"/>
      </w:pPr>
      <w:r>
        <w:rPr>
          <w:rStyle w:val="FootnoteReference"/>
        </w:rPr>
        <w:footnoteRef/>
      </w:r>
      <w:r>
        <w:t xml:space="preserve"> </w:t>
      </w:r>
      <w:bookmarkStart w:id="48" w:name="_Hlk525920297"/>
      <w:r>
        <w:t>Ibid.</w:t>
      </w:r>
      <w:r w:rsidRPr="00F91F0A">
        <w:t>,</w:t>
      </w:r>
      <w:r>
        <w:t xml:space="preserve"> </w:t>
      </w:r>
      <w:bookmarkEnd w:id="48"/>
      <w:r>
        <w:t>16.</w:t>
      </w:r>
    </w:p>
  </w:footnote>
  <w:footnote w:id="214">
    <w:p w:rsidR="007A32E1" w:rsidRDefault="007A32E1">
      <w:pPr>
        <w:pStyle w:val="FootnoteText"/>
      </w:pPr>
      <w:r>
        <w:rPr>
          <w:rStyle w:val="FootnoteReference"/>
        </w:rPr>
        <w:footnoteRef/>
      </w:r>
      <w:r>
        <w:t xml:space="preserve"> Webster’s 1828 Dictionary, Online Version, s.v. “emolument,” </w:t>
      </w:r>
      <w:r w:rsidRPr="00C10ABD">
        <w:t>http://www.webstersdictionary1828.com/Dictionary</w:t>
      </w:r>
      <w:r>
        <w:t>.</w:t>
      </w:r>
    </w:p>
  </w:footnote>
  <w:footnote w:id="215">
    <w:p w:rsidR="007A32E1" w:rsidRDefault="007A32E1">
      <w:pPr>
        <w:pStyle w:val="FootnoteText"/>
      </w:pPr>
      <w:r>
        <w:rPr>
          <w:rStyle w:val="FootnoteReference"/>
        </w:rPr>
        <w:footnoteRef/>
      </w:r>
      <w:r>
        <w:t xml:space="preserve"> </w:t>
      </w:r>
      <w:r w:rsidRPr="00CF79ED">
        <w:t>James Madison, “Memorial and Remonstrance Against Religious Assessments,” Writings 2:184-91</w:t>
      </w:r>
      <w:r>
        <w:t>.</w:t>
      </w:r>
      <w:r w:rsidRPr="00CF79ED">
        <w:t xml:space="preserve"> (see chap. 1, n. 8)</w:t>
      </w:r>
    </w:p>
  </w:footnote>
  <w:footnote w:id="216">
    <w:p w:rsidR="007A32E1" w:rsidRDefault="007A32E1">
      <w:pPr>
        <w:pStyle w:val="FootnoteText"/>
      </w:pPr>
      <w:r>
        <w:rPr>
          <w:rStyle w:val="FootnoteReference"/>
        </w:rPr>
        <w:footnoteRef/>
      </w:r>
      <w:r>
        <w:t xml:space="preserve"> Ibid.,</w:t>
      </w:r>
      <w:r w:rsidRPr="00537CB1">
        <w:t xml:space="preserve"> 2:18</w:t>
      </w:r>
      <w:r>
        <w:t>7. (see chap 1, n:8).</w:t>
      </w:r>
      <w:r w:rsidRPr="00537CB1">
        <w:t xml:space="preserve"> </w:t>
      </w:r>
    </w:p>
  </w:footnote>
  <w:footnote w:id="217">
    <w:p w:rsidR="007A32E1" w:rsidRDefault="007A32E1">
      <w:pPr>
        <w:pStyle w:val="FootnoteText"/>
      </w:pPr>
      <w:r>
        <w:rPr>
          <w:rStyle w:val="FootnoteReference"/>
        </w:rPr>
        <w:footnoteRef/>
      </w:r>
      <w:r>
        <w:t xml:space="preserve"> </w:t>
      </w:r>
      <w:r w:rsidRPr="00F936CB">
        <w:rPr>
          <w:vertAlign w:val="superscript"/>
        </w:rPr>
        <w:footnoteRef/>
      </w:r>
      <w:r w:rsidRPr="00F936CB">
        <w:t xml:space="preserve"> John Locke, </w:t>
      </w:r>
      <w:r w:rsidRPr="00F936CB">
        <w:rPr>
          <w:i/>
        </w:rPr>
        <w:t>Two Treatise of Government and A Letter Concerning Toleration</w:t>
      </w:r>
      <w:r w:rsidRPr="00F936CB">
        <w:t xml:space="preserve"> (Lexington: Digireads.com Publishing, 2015), 218.</w:t>
      </w:r>
    </w:p>
  </w:footnote>
  <w:footnote w:id="218">
    <w:p w:rsidR="007A32E1" w:rsidRDefault="007A32E1">
      <w:pPr>
        <w:pStyle w:val="FootnoteText"/>
      </w:pPr>
      <w:r>
        <w:rPr>
          <w:rStyle w:val="FootnoteReference"/>
        </w:rPr>
        <w:footnoteRef/>
      </w:r>
      <w:r>
        <w:t xml:space="preserve"> </w:t>
      </w:r>
      <w:r w:rsidRPr="005A4AF9">
        <w:rPr>
          <w:u w:val="single"/>
        </w:rPr>
        <w:t>Everson v. Bd. of Ed. of Ewing Twp.</w:t>
      </w:r>
      <w:r w:rsidRPr="005A4AF9">
        <w:t xml:space="preserve">, 330 U.S. 1, </w:t>
      </w:r>
      <w:r>
        <w:t>9</w:t>
      </w:r>
      <w:r w:rsidRPr="005A4AF9">
        <w:t xml:space="preserve"> (1947)</w:t>
      </w:r>
      <w:r>
        <w:t>.</w:t>
      </w:r>
    </w:p>
  </w:footnote>
  <w:footnote w:id="219">
    <w:p w:rsidR="007A32E1" w:rsidRDefault="007A32E1" w:rsidP="00DF7B53">
      <w:pPr>
        <w:pStyle w:val="FootnoteText"/>
      </w:pPr>
      <w:r>
        <w:rPr>
          <w:rStyle w:val="FootnoteReference"/>
        </w:rPr>
        <w:footnoteRef/>
      </w:r>
      <w:r>
        <w:t xml:space="preserve"> Ibid., 15-6.</w:t>
      </w:r>
    </w:p>
  </w:footnote>
  <w:footnote w:id="220">
    <w:p w:rsidR="007A32E1" w:rsidRDefault="007A32E1">
      <w:pPr>
        <w:pStyle w:val="FootnoteText"/>
      </w:pPr>
      <w:r>
        <w:rPr>
          <w:rStyle w:val="FootnoteReference"/>
        </w:rPr>
        <w:footnoteRef/>
      </w:r>
      <w:r>
        <w:t xml:space="preserve"> Ibid.</w:t>
      </w:r>
    </w:p>
  </w:footnote>
  <w:footnote w:id="221">
    <w:p w:rsidR="007A32E1" w:rsidRDefault="007A32E1">
      <w:pPr>
        <w:pStyle w:val="FootnoteText"/>
      </w:pPr>
      <w:r>
        <w:rPr>
          <w:rStyle w:val="FootnoteReference"/>
        </w:rPr>
        <w:footnoteRef/>
      </w:r>
      <w:r>
        <w:t xml:space="preserve"> </w:t>
      </w:r>
      <w:bookmarkStart w:id="52" w:name="_Hlk526868755"/>
      <w:r w:rsidRPr="00AF2B63">
        <w:rPr>
          <w:u w:val="single"/>
        </w:rPr>
        <w:t>Watson v. Jones</w:t>
      </w:r>
      <w:r w:rsidRPr="00AF2B63">
        <w:t>, 80 U.S. 679, 730 (1871)</w:t>
      </w:r>
      <w:bookmarkEnd w:id="52"/>
      <w:r>
        <w:t>.</w:t>
      </w:r>
    </w:p>
  </w:footnote>
  <w:footnote w:id="222">
    <w:p w:rsidR="007A32E1" w:rsidRDefault="007A32E1">
      <w:pPr>
        <w:pStyle w:val="FootnoteText"/>
      </w:pPr>
      <w:r>
        <w:rPr>
          <w:rStyle w:val="FootnoteReference"/>
        </w:rPr>
        <w:footnoteRef/>
      </w:r>
      <w:r>
        <w:t xml:space="preserve"> </w:t>
      </w:r>
      <w:r w:rsidRPr="00B63679">
        <w:rPr>
          <w:u w:val="single"/>
        </w:rPr>
        <w:t>Everson v. Bd. of Ed. of Ewing Twp.</w:t>
      </w:r>
      <w:r w:rsidRPr="00B63679">
        <w:t xml:space="preserve">, 330 U.S. 1, </w:t>
      </w:r>
      <w:r>
        <w:t>31-2</w:t>
      </w:r>
      <w:r w:rsidRPr="00B63679">
        <w:t xml:space="preserve"> (1947)</w:t>
      </w:r>
      <w:r>
        <w:t>.</w:t>
      </w:r>
    </w:p>
  </w:footnote>
  <w:footnote w:id="223">
    <w:p w:rsidR="007A32E1" w:rsidRDefault="007A32E1">
      <w:pPr>
        <w:pStyle w:val="FootnoteText"/>
      </w:pPr>
      <w:r>
        <w:rPr>
          <w:rStyle w:val="FootnoteReference"/>
        </w:rPr>
        <w:footnoteRef/>
      </w:r>
      <w:r>
        <w:t xml:space="preserve"> Ibid., 53.</w:t>
      </w:r>
    </w:p>
  </w:footnote>
  <w:footnote w:id="224">
    <w:p w:rsidR="007A32E1" w:rsidRDefault="007A32E1">
      <w:pPr>
        <w:pStyle w:val="FootnoteText"/>
      </w:pPr>
      <w:r>
        <w:rPr>
          <w:rStyle w:val="FootnoteReference"/>
        </w:rPr>
        <w:footnoteRef/>
      </w:r>
      <w:r>
        <w:t xml:space="preserve"> Ibid., 51.</w:t>
      </w:r>
    </w:p>
  </w:footnote>
  <w:footnote w:id="225">
    <w:p w:rsidR="007A32E1" w:rsidRDefault="007A32E1">
      <w:pPr>
        <w:pStyle w:val="FootnoteText"/>
      </w:pPr>
      <w:r>
        <w:rPr>
          <w:rStyle w:val="FootnoteReference"/>
        </w:rPr>
        <w:footnoteRef/>
      </w:r>
      <w:r>
        <w:t xml:space="preserve"> </w:t>
      </w:r>
      <w:r w:rsidRPr="00851FB3">
        <w:t>James Madison, “Memorial and Remonstrance Against Religious Assessments,” Writings 2:187</w:t>
      </w:r>
      <w:r>
        <w:t>.</w:t>
      </w:r>
      <w:r w:rsidRPr="00851FB3">
        <w:t xml:space="preserve"> (see chap. 1, n. 8)</w:t>
      </w:r>
      <w:r>
        <w:t>.</w:t>
      </w:r>
    </w:p>
  </w:footnote>
  <w:footnote w:id="226">
    <w:p w:rsidR="007A32E1" w:rsidRDefault="007A32E1">
      <w:pPr>
        <w:pStyle w:val="FootnoteText"/>
      </w:pPr>
      <w:r>
        <w:rPr>
          <w:rStyle w:val="FootnoteReference"/>
        </w:rPr>
        <w:footnoteRef/>
      </w:r>
      <w:r>
        <w:t xml:space="preserve"> Ibid., 189.</w:t>
      </w:r>
    </w:p>
  </w:footnote>
  <w:footnote w:id="227">
    <w:p w:rsidR="007A32E1" w:rsidRDefault="007A32E1">
      <w:pPr>
        <w:pStyle w:val="FootnoteText"/>
      </w:pPr>
      <w:r w:rsidRPr="00A74DB2">
        <w:rPr>
          <w:rStyle w:val="FootnoteReference"/>
        </w:rPr>
        <w:footnoteRef/>
      </w:r>
      <w:r>
        <w:t xml:space="preserve"> </w:t>
      </w:r>
      <w:r w:rsidRPr="00A74DB2">
        <w:t xml:space="preserve">James Madison, “Letter to </w:t>
      </w:r>
      <w:r>
        <w:t>James Madison (Sr.)</w:t>
      </w:r>
      <w:r w:rsidRPr="00A74DB2">
        <w:t xml:space="preserve">: </w:t>
      </w:r>
      <w:r>
        <w:t>September 8, 1783</w:t>
      </w:r>
      <w:r w:rsidRPr="00A74DB2">
        <w:t xml:space="preserve">, Writings </w:t>
      </w:r>
      <w:r>
        <w:t>2</w:t>
      </w:r>
      <w:r w:rsidRPr="00A74DB2">
        <w:t>:</w:t>
      </w:r>
      <w:r>
        <w:t>15.</w:t>
      </w:r>
      <w:r w:rsidRPr="00A74DB2">
        <w:t xml:space="preserve"> (see chap. 1, n. 8)</w:t>
      </w:r>
      <w:r>
        <w:t>.</w:t>
      </w:r>
    </w:p>
  </w:footnote>
  <w:footnote w:id="228">
    <w:p w:rsidR="007A32E1" w:rsidRPr="00EE158F" w:rsidRDefault="007A32E1" w:rsidP="008E1E22">
      <w:pPr>
        <w:pStyle w:val="FootnoteText"/>
      </w:pPr>
      <w:r>
        <w:rPr>
          <w:rStyle w:val="FootnoteReference"/>
        </w:rPr>
        <w:footnoteRef/>
      </w:r>
      <w:r>
        <w:t xml:space="preserve"> Whale, </w:t>
      </w:r>
      <w:r>
        <w:rPr>
          <w:i/>
        </w:rPr>
        <w:t>The Protestant Tradition</w:t>
      </w:r>
      <w:r>
        <w:t>, 290</w:t>
      </w:r>
    </w:p>
  </w:footnote>
  <w:footnote w:id="229">
    <w:p w:rsidR="007A32E1" w:rsidRDefault="007A32E1" w:rsidP="008E1E22">
      <w:pPr>
        <w:pStyle w:val="FootnoteText"/>
      </w:pPr>
      <w:r>
        <w:rPr>
          <w:rStyle w:val="FootnoteReference"/>
        </w:rPr>
        <w:footnoteRef/>
      </w:r>
      <w:r>
        <w:t xml:space="preserve"> Ibid., 297</w:t>
      </w:r>
    </w:p>
  </w:footnote>
  <w:footnote w:id="230">
    <w:p w:rsidR="007A32E1" w:rsidRPr="001C6BF0" w:rsidRDefault="007A32E1" w:rsidP="008E1E22">
      <w:pPr>
        <w:pStyle w:val="FootnoteText"/>
      </w:pPr>
      <w:r>
        <w:rPr>
          <w:rStyle w:val="FootnoteReference"/>
        </w:rPr>
        <w:footnoteRef/>
      </w:r>
      <w:r>
        <w:t xml:space="preserve"> Calvin, </w:t>
      </w:r>
      <w:r>
        <w:rPr>
          <w:i/>
        </w:rPr>
        <w:t>Institutes Book iv,</w:t>
      </w:r>
      <w:r>
        <w:t xml:space="preserve"> 782</w:t>
      </w:r>
    </w:p>
  </w:footnote>
  <w:footnote w:id="231">
    <w:p w:rsidR="007A32E1" w:rsidRDefault="007A32E1">
      <w:pPr>
        <w:pStyle w:val="FootnoteText"/>
      </w:pPr>
      <w:r>
        <w:rPr>
          <w:rStyle w:val="FootnoteReference"/>
        </w:rPr>
        <w:footnoteRef/>
      </w:r>
      <w:r>
        <w:t xml:space="preserve"> Ibid., 804</w:t>
      </w:r>
    </w:p>
  </w:footnote>
  <w:footnote w:id="232">
    <w:p w:rsidR="007A32E1" w:rsidRDefault="007A32E1">
      <w:pPr>
        <w:pStyle w:val="FootnoteText"/>
      </w:pPr>
      <w:r>
        <w:rPr>
          <w:rStyle w:val="FootnoteReference"/>
        </w:rPr>
        <w:footnoteRef/>
      </w:r>
      <w:r>
        <w:t xml:space="preserve"> Ibid., 771</w:t>
      </w:r>
    </w:p>
  </w:footnote>
  <w:footnote w:id="233">
    <w:p w:rsidR="007A32E1" w:rsidRDefault="007A32E1">
      <w:pPr>
        <w:pStyle w:val="FootnoteText"/>
      </w:pPr>
      <w:r>
        <w:rPr>
          <w:rStyle w:val="FootnoteReference"/>
        </w:rPr>
        <w:footnoteRef/>
      </w:r>
      <w:r>
        <w:t xml:space="preserve"> Ibid., 778</w:t>
      </w:r>
    </w:p>
  </w:footnote>
  <w:footnote w:id="234">
    <w:p w:rsidR="007A32E1" w:rsidRDefault="007A32E1">
      <w:pPr>
        <w:pStyle w:val="FootnoteText"/>
      </w:pPr>
      <w:r>
        <w:rPr>
          <w:rStyle w:val="FootnoteReference"/>
        </w:rPr>
        <w:footnoteRef/>
      </w:r>
      <w:r>
        <w:t xml:space="preserve"> Ibid., 787</w:t>
      </w:r>
    </w:p>
  </w:footnote>
  <w:footnote w:id="235">
    <w:p w:rsidR="007A32E1" w:rsidRPr="00C16323" w:rsidRDefault="007A32E1">
      <w:pPr>
        <w:pStyle w:val="FootnoteText"/>
        <w:rPr>
          <w:i/>
        </w:rPr>
      </w:pPr>
      <w:r>
        <w:rPr>
          <w:rStyle w:val="FootnoteReference"/>
        </w:rPr>
        <w:footnoteRef/>
      </w:r>
      <w:r>
        <w:t xml:space="preserve"> Bainton, </w:t>
      </w:r>
      <w:bookmarkStart w:id="72" w:name="_Hlk519538692"/>
      <w:r>
        <w:rPr>
          <w:i/>
        </w:rPr>
        <w:t>The Reformations of the 16</w:t>
      </w:r>
      <w:r w:rsidRPr="00C16323">
        <w:rPr>
          <w:i/>
          <w:vertAlign w:val="superscript"/>
        </w:rPr>
        <w:t>th</w:t>
      </w:r>
      <w:r>
        <w:rPr>
          <w:i/>
        </w:rPr>
        <w:t xml:space="preserve"> Century</w:t>
      </w:r>
      <w:bookmarkEnd w:id="72"/>
      <w:r w:rsidRPr="00C16323">
        <w:t>, 191</w:t>
      </w:r>
      <w:r>
        <w:t>.</w:t>
      </w:r>
    </w:p>
  </w:footnote>
  <w:footnote w:id="236">
    <w:p w:rsidR="007A32E1" w:rsidRPr="001D4C0F" w:rsidRDefault="007A32E1">
      <w:pPr>
        <w:pStyle w:val="FootnoteText"/>
      </w:pPr>
      <w:r>
        <w:rPr>
          <w:rStyle w:val="FootnoteReference"/>
        </w:rPr>
        <w:footnoteRef/>
      </w:r>
      <w:r>
        <w:t xml:space="preserve"> Whale, </w:t>
      </w:r>
      <w:r>
        <w:rPr>
          <w:i/>
        </w:rPr>
        <w:t>The Protestant Tradition</w:t>
      </w:r>
      <w:r>
        <w:t>, 310</w:t>
      </w:r>
    </w:p>
  </w:footnote>
  <w:footnote w:id="237">
    <w:p w:rsidR="007A32E1" w:rsidRPr="009656CF" w:rsidRDefault="007A32E1">
      <w:pPr>
        <w:pStyle w:val="FootnoteText"/>
      </w:pPr>
      <w:r>
        <w:rPr>
          <w:rStyle w:val="FootnoteReference"/>
        </w:rPr>
        <w:footnoteRef/>
      </w:r>
      <w:r>
        <w:t xml:space="preserve"> Bainton, </w:t>
      </w:r>
      <w:r w:rsidRPr="009656CF">
        <w:rPr>
          <w:i/>
        </w:rPr>
        <w:t>The Reformations of the 16</w:t>
      </w:r>
      <w:r w:rsidRPr="009656CF">
        <w:rPr>
          <w:i/>
          <w:vertAlign w:val="superscript"/>
        </w:rPr>
        <w:t>th</w:t>
      </w:r>
      <w:r w:rsidRPr="009656CF">
        <w:rPr>
          <w:i/>
        </w:rPr>
        <w:t xml:space="preserve"> Century</w:t>
      </w:r>
      <w:r>
        <w:rPr>
          <w:i/>
        </w:rPr>
        <w:t>,</w:t>
      </w:r>
      <w:r>
        <w:t xml:space="preserve"> 101</w:t>
      </w:r>
    </w:p>
  </w:footnote>
  <w:footnote w:id="238">
    <w:p w:rsidR="007A32E1" w:rsidRPr="00004FBC" w:rsidRDefault="007A32E1">
      <w:pPr>
        <w:pStyle w:val="FootnoteText"/>
      </w:pPr>
      <w:r>
        <w:rPr>
          <w:rStyle w:val="FootnoteReference"/>
        </w:rPr>
        <w:footnoteRef/>
      </w:r>
      <w:r>
        <w:t xml:space="preserve"> </w:t>
      </w:r>
      <w:r w:rsidRPr="00004FBC">
        <w:t>Brunner</w:t>
      </w:r>
      <w:r>
        <w:t xml:space="preserve">, </w:t>
      </w:r>
      <w:r w:rsidRPr="00004FBC">
        <w:rPr>
          <w:i/>
        </w:rPr>
        <w:t>Justice and the Social Order</w:t>
      </w:r>
      <w:r>
        <w:rPr>
          <w:i/>
        </w:rPr>
        <w:t>,</w:t>
      </w:r>
      <w:r>
        <w:t xml:space="preserve"> 125</w:t>
      </w:r>
    </w:p>
  </w:footnote>
  <w:footnote w:id="239">
    <w:p w:rsidR="007A32E1" w:rsidRDefault="007A32E1" w:rsidP="009A494A">
      <w:pPr>
        <w:pStyle w:val="FootnoteText"/>
      </w:pPr>
      <w:r>
        <w:rPr>
          <w:rStyle w:val="FootnoteReference"/>
        </w:rPr>
        <w:footnoteRef/>
      </w:r>
      <w:r>
        <w:t xml:space="preserve"> James Madison, Writings 2:183-191 (see chap 1, n:8)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32E1" w:rsidRDefault="007A32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266E39"/>
    <w:multiLevelType w:val="hybridMultilevel"/>
    <w:tmpl w:val="F744AE56"/>
    <w:lvl w:ilvl="0" w:tplc="AF10954C">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6C209CE"/>
    <w:multiLevelType w:val="hybridMultilevel"/>
    <w:tmpl w:val="6CE069E6"/>
    <w:lvl w:ilvl="0" w:tplc="A93E5822">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C19015B"/>
    <w:multiLevelType w:val="multilevel"/>
    <w:tmpl w:val="45F4F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6D215C"/>
    <w:multiLevelType w:val="hybridMultilevel"/>
    <w:tmpl w:val="1542C7A8"/>
    <w:lvl w:ilvl="0" w:tplc="7090A930">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87A5C12"/>
    <w:multiLevelType w:val="hybridMultilevel"/>
    <w:tmpl w:val="4BAEC838"/>
    <w:lvl w:ilvl="0" w:tplc="CAA6B646">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1CA"/>
    <w:rsid w:val="000008EA"/>
    <w:rsid w:val="00004FBC"/>
    <w:rsid w:val="000078D9"/>
    <w:rsid w:val="00011DB9"/>
    <w:rsid w:val="000130B8"/>
    <w:rsid w:val="00017A68"/>
    <w:rsid w:val="000232EC"/>
    <w:rsid w:val="000262A6"/>
    <w:rsid w:val="00027591"/>
    <w:rsid w:val="00031141"/>
    <w:rsid w:val="000320B2"/>
    <w:rsid w:val="000344BB"/>
    <w:rsid w:val="00034CD1"/>
    <w:rsid w:val="000401C6"/>
    <w:rsid w:val="000421F4"/>
    <w:rsid w:val="00042398"/>
    <w:rsid w:val="00042B50"/>
    <w:rsid w:val="00042C42"/>
    <w:rsid w:val="00042F79"/>
    <w:rsid w:val="000438A5"/>
    <w:rsid w:val="00044245"/>
    <w:rsid w:val="00044441"/>
    <w:rsid w:val="0004474E"/>
    <w:rsid w:val="00045F0C"/>
    <w:rsid w:val="000533E3"/>
    <w:rsid w:val="00057272"/>
    <w:rsid w:val="00057EE7"/>
    <w:rsid w:val="000601CF"/>
    <w:rsid w:val="00060828"/>
    <w:rsid w:val="00063EB2"/>
    <w:rsid w:val="00065C07"/>
    <w:rsid w:val="000662F6"/>
    <w:rsid w:val="00067B1F"/>
    <w:rsid w:val="00067BCE"/>
    <w:rsid w:val="000703DC"/>
    <w:rsid w:val="00074AE7"/>
    <w:rsid w:val="00075036"/>
    <w:rsid w:val="00075F32"/>
    <w:rsid w:val="000770A1"/>
    <w:rsid w:val="00081A50"/>
    <w:rsid w:val="0008494F"/>
    <w:rsid w:val="00084EDF"/>
    <w:rsid w:val="000861ED"/>
    <w:rsid w:val="00086791"/>
    <w:rsid w:val="00092248"/>
    <w:rsid w:val="000A0143"/>
    <w:rsid w:val="000A10D5"/>
    <w:rsid w:val="000A1400"/>
    <w:rsid w:val="000A4275"/>
    <w:rsid w:val="000A5AB8"/>
    <w:rsid w:val="000A6E38"/>
    <w:rsid w:val="000A7246"/>
    <w:rsid w:val="000B01F6"/>
    <w:rsid w:val="000B0CA5"/>
    <w:rsid w:val="000B1AB1"/>
    <w:rsid w:val="000B1FC6"/>
    <w:rsid w:val="000B25CD"/>
    <w:rsid w:val="000B2907"/>
    <w:rsid w:val="000B2C16"/>
    <w:rsid w:val="000B4C24"/>
    <w:rsid w:val="000C0289"/>
    <w:rsid w:val="000C0E53"/>
    <w:rsid w:val="000C1C52"/>
    <w:rsid w:val="000C2C73"/>
    <w:rsid w:val="000C321D"/>
    <w:rsid w:val="000C405E"/>
    <w:rsid w:val="000C6BD6"/>
    <w:rsid w:val="000D0153"/>
    <w:rsid w:val="000D03B5"/>
    <w:rsid w:val="000D08B8"/>
    <w:rsid w:val="000D1B71"/>
    <w:rsid w:val="000D290D"/>
    <w:rsid w:val="000D4A0C"/>
    <w:rsid w:val="000D53F4"/>
    <w:rsid w:val="000D561A"/>
    <w:rsid w:val="000E10FE"/>
    <w:rsid w:val="000E1E93"/>
    <w:rsid w:val="000E23A9"/>
    <w:rsid w:val="000E253E"/>
    <w:rsid w:val="000E3AAE"/>
    <w:rsid w:val="000E492A"/>
    <w:rsid w:val="000E56E8"/>
    <w:rsid w:val="000E6221"/>
    <w:rsid w:val="000E790B"/>
    <w:rsid w:val="000E79F7"/>
    <w:rsid w:val="000F01A0"/>
    <w:rsid w:val="000F0506"/>
    <w:rsid w:val="000F48D4"/>
    <w:rsid w:val="000F5320"/>
    <w:rsid w:val="000F6116"/>
    <w:rsid w:val="000F6F92"/>
    <w:rsid w:val="000F72FF"/>
    <w:rsid w:val="00101B40"/>
    <w:rsid w:val="001026EB"/>
    <w:rsid w:val="00104689"/>
    <w:rsid w:val="00107855"/>
    <w:rsid w:val="00112648"/>
    <w:rsid w:val="0011346C"/>
    <w:rsid w:val="001173DE"/>
    <w:rsid w:val="00117BD7"/>
    <w:rsid w:val="001200D1"/>
    <w:rsid w:val="00122BE6"/>
    <w:rsid w:val="0012316A"/>
    <w:rsid w:val="00123FED"/>
    <w:rsid w:val="001251DE"/>
    <w:rsid w:val="00126F72"/>
    <w:rsid w:val="0013053A"/>
    <w:rsid w:val="001308C9"/>
    <w:rsid w:val="00130CF5"/>
    <w:rsid w:val="00131545"/>
    <w:rsid w:val="00131684"/>
    <w:rsid w:val="00132501"/>
    <w:rsid w:val="00132BD2"/>
    <w:rsid w:val="001339FC"/>
    <w:rsid w:val="001351AF"/>
    <w:rsid w:val="00135477"/>
    <w:rsid w:val="0013596D"/>
    <w:rsid w:val="00135BA4"/>
    <w:rsid w:val="00135C79"/>
    <w:rsid w:val="00135F1C"/>
    <w:rsid w:val="001365CF"/>
    <w:rsid w:val="00137004"/>
    <w:rsid w:val="0013757E"/>
    <w:rsid w:val="00142D3A"/>
    <w:rsid w:val="001466F6"/>
    <w:rsid w:val="00146F84"/>
    <w:rsid w:val="001571C1"/>
    <w:rsid w:val="00157482"/>
    <w:rsid w:val="00160CD7"/>
    <w:rsid w:val="00161A43"/>
    <w:rsid w:val="00161AD0"/>
    <w:rsid w:val="00161ED4"/>
    <w:rsid w:val="001652CE"/>
    <w:rsid w:val="001664C7"/>
    <w:rsid w:val="00167708"/>
    <w:rsid w:val="001704B0"/>
    <w:rsid w:val="0017075C"/>
    <w:rsid w:val="001709AD"/>
    <w:rsid w:val="00173300"/>
    <w:rsid w:val="00173C3A"/>
    <w:rsid w:val="001778C3"/>
    <w:rsid w:val="001810D4"/>
    <w:rsid w:val="0018286E"/>
    <w:rsid w:val="00182BFE"/>
    <w:rsid w:val="001838E4"/>
    <w:rsid w:val="00185335"/>
    <w:rsid w:val="00185617"/>
    <w:rsid w:val="00187C22"/>
    <w:rsid w:val="00190598"/>
    <w:rsid w:val="00190AE0"/>
    <w:rsid w:val="001947BA"/>
    <w:rsid w:val="00195BA1"/>
    <w:rsid w:val="00196C6F"/>
    <w:rsid w:val="00197144"/>
    <w:rsid w:val="001A066D"/>
    <w:rsid w:val="001A07A2"/>
    <w:rsid w:val="001A3CCF"/>
    <w:rsid w:val="001A642E"/>
    <w:rsid w:val="001A6A2A"/>
    <w:rsid w:val="001A77D3"/>
    <w:rsid w:val="001A7E8D"/>
    <w:rsid w:val="001B0479"/>
    <w:rsid w:val="001B189E"/>
    <w:rsid w:val="001B1C26"/>
    <w:rsid w:val="001B2A8B"/>
    <w:rsid w:val="001B3286"/>
    <w:rsid w:val="001B4443"/>
    <w:rsid w:val="001B521B"/>
    <w:rsid w:val="001B6088"/>
    <w:rsid w:val="001B6D0F"/>
    <w:rsid w:val="001B7678"/>
    <w:rsid w:val="001B7E74"/>
    <w:rsid w:val="001C17A5"/>
    <w:rsid w:val="001C2444"/>
    <w:rsid w:val="001C45BC"/>
    <w:rsid w:val="001C49C7"/>
    <w:rsid w:val="001C4DB9"/>
    <w:rsid w:val="001C6372"/>
    <w:rsid w:val="001C6A9F"/>
    <w:rsid w:val="001C6C51"/>
    <w:rsid w:val="001C7274"/>
    <w:rsid w:val="001C74F2"/>
    <w:rsid w:val="001C76C8"/>
    <w:rsid w:val="001C7717"/>
    <w:rsid w:val="001D0FD4"/>
    <w:rsid w:val="001D1114"/>
    <w:rsid w:val="001D210E"/>
    <w:rsid w:val="001D2616"/>
    <w:rsid w:val="001D27DF"/>
    <w:rsid w:val="001D2C1C"/>
    <w:rsid w:val="001D36D9"/>
    <w:rsid w:val="001D4C0F"/>
    <w:rsid w:val="001D5164"/>
    <w:rsid w:val="001D530F"/>
    <w:rsid w:val="001D5806"/>
    <w:rsid w:val="001D5B92"/>
    <w:rsid w:val="001D7DCD"/>
    <w:rsid w:val="001E02B0"/>
    <w:rsid w:val="001E0325"/>
    <w:rsid w:val="001E17D3"/>
    <w:rsid w:val="001E1BEF"/>
    <w:rsid w:val="001E4FF3"/>
    <w:rsid w:val="001E5270"/>
    <w:rsid w:val="001E56B7"/>
    <w:rsid w:val="001E5C26"/>
    <w:rsid w:val="001E7770"/>
    <w:rsid w:val="001E7E73"/>
    <w:rsid w:val="001F0BDC"/>
    <w:rsid w:val="001F23A3"/>
    <w:rsid w:val="001F3731"/>
    <w:rsid w:val="001F50BE"/>
    <w:rsid w:val="001F52AF"/>
    <w:rsid w:val="001F5CD8"/>
    <w:rsid w:val="001F5F8F"/>
    <w:rsid w:val="001F68FD"/>
    <w:rsid w:val="001F7AA8"/>
    <w:rsid w:val="00200AE9"/>
    <w:rsid w:val="00201776"/>
    <w:rsid w:val="002021F9"/>
    <w:rsid w:val="00203EC1"/>
    <w:rsid w:val="002047CD"/>
    <w:rsid w:val="00204E47"/>
    <w:rsid w:val="00205886"/>
    <w:rsid w:val="0020651F"/>
    <w:rsid w:val="00211716"/>
    <w:rsid w:val="00212590"/>
    <w:rsid w:val="00212D27"/>
    <w:rsid w:val="00214B82"/>
    <w:rsid w:val="00215E6B"/>
    <w:rsid w:val="00216566"/>
    <w:rsid w:val="00217FD4"/>
    <w:rsid w:val="00221ED9"/>
    <w:rsid w:val="00223BE0"/>
    <w:rsid w:val="002252A2"/>
    <w:rsid w:val="0022615C"/>
    <w:rsid w:val="002268ED"/>
    <w:rsid w:val="002274C8"/>
    <w:rsid w:val="00227CBA"/>
    <w:rsid w:val="00230B77"/>
    <w:rsid w:val="00232105"/>
    <w:rsid w:val="002326A5"/>
    <w:rsid w:val="00232DEC"/>
    <w:rsid w:val="00233DBB"/>
    <w:rsid w:val="00236990"/>
    <w:rsid w:val="00237051"/>
    <w:rsid w:val="00237E17"/>
    <w:rsid w:val="002413CD"/>
    <w:rsid w:val="00241573"/>
    <w:rsid w:val="00244F78"/>
    <w:rsid w:val="00247543"/>
    <w:rsid w:val="0024795F"/>
    <w:rsid w:val="002503AC"/>
    <w:rsid w:val="002504F3"/>
    <w:rsid w:val="0025331F"/>
    <w:rsid w:val="002620C8"/>
    <w:rsid w:val="00266B04"/>
    <w:rsid w:val="00271045"/>
    <w:rsid w:val="0027148B"/>
    <w:rsid w:val="0027434F"/>
    <w:rsid w:val="002743C7"/>
    <w:rsid w:val="00276227"/>
    <w:rsid w:val="002804EB"/>
    <w:rsid w:val="00280501"/>
    <w:rsid w:val="002814D4"/>
    <w:rsid w:val="002828A7"/>
    <w:rsid w:val="00286DA0"/>
    <w:rsid w:val="00287984"/>
    <w:rsid w:val="00295C98"/>
    <w:rsid w:val="00296882"/>
    <w:rsid w:val="0029730A"/>
    <w:rsid w:val="002A00EC"/>
    <w:rsid w:val="002A3E62"/>
    <w:rsid w:val="002A4556"/>
    <w:rsid w:val="002A5C1B"/>
    <w:rsid w:val="002A7B39"/>
    <w:rsid w:val="002B1057"/>
    <w:rsid w:val="002B2CA3"/>
    <w:rsid w:val="002B3D2D"/>
    <w:rsid w:val="002B3DE8"/>
    <w:rsid w:val="002B4A2B"/>
    <w:rsid w:val="002B57EA"/>
    <w:rsid w:val="002B5B01"/>
    <w:rsid w:val="002B7244"/>
    <w:rsid w:val="002B7BD6"/>
    <w:rsid w:val="002C2CF5"/>
    <w:rsid w:val="002C2E9E"/>
    <w:rsid w:val="002C448A"/>
    <w:rsid w:val="002C448F"/>
    <w:rsid w:val="002C5848"/>
    <w:rsid w:val="002D182E"/>
    <w:rsid w:val="002D34F0"/>
    <w:rsid w:val="002D46DE"/>
    <w:rsid w:val="002D4C37"/>
    <w:rsid w:val="002D5A5D"/>
    <w:rsid w:val="002D5C8E"/>
    <w:rsid w:val="002E126A"/>
    <w:rsid w:val="002E368C"/>
    <w:rsid w:val="002E3F8F"/>
    <w:rsid w:val="002E4571"/>
    <w:rsid w:val="002E6E91"/>
    <w:rsid w:val="002E7202"/>
    <w:rsid w:val="002E780D"/>
    <w:rsid w:val="002E784C"/>
    <w:rsid w:val="002F0726"/>
    <w:rsid w:val="002F3C0C"/>
    <w:rsid w:val="002F7074"/>
    <w:rsid w:val="002F77D0"/>
    <w:rsid w:val="002F77DB"/>
    <w:rsid w:val="00302873"/>
    <w:rsid w:val="00303ABD"/>
    <w:rsid w:val="00303CA8"/>
    <w:rsid w:val="00303CB5"/>
    <w:rsid w:val="003046F1"/>
    <w:rsid w:val="00305FDF"/>
    <w:rsid w:val="0030629C"/>
    <w:rsid w:val="003101DE"/>
    <w:rsid w:val="00310882"/>
    <w:rsid w:val="00310D1C"/>
    <w:rsid w:val="00313C66"/>
    <w:rsid w:val="00314382"/>
    <w:rsid w:val="003143DC"/>
    <w:rsid w:val="00315280"/>
    <w:rsid w:val="0031545F"/>
    <w:rsid w:val="003161BB"/>
    <w:rsid w:val="00316599"/>
    <w:rsid w:val="00321FF8"/>
    <w:rsid w:val="003225E8"/>
    <w:rsid w:val="003242B8"/>
    <w:rsid w:val="00324851"/>
    <w:rsid w:val="00325E28"/>
    <w:rsid w:val="00330142"/>
    <w:rsid w:val="003304D7"/>
    <w:rsid w:val="00331338"/>
    <w:rsid w:val="00331B98"/>
    <w:rsid w:val="00333943"/>
    <w:rsid w:val="00334EB8"/>
    <w:rsid w:val="003353DE"/>
    <w:rsid w:val="00336B6B"/>
    <w:rsid w:val="00336BB9"/>
    <w:rsid w:val="003373A1"/>
    <w:rsid w:val="00340CAB"/>
    <w:rsid w:val="00342187"/>
    <w:rsid w:val="00343437"/>
    <w:rsid w:val="00343FBD"/>
    <w:rsid w:val="00345D26"/>
    <w:rsid w:val="00347FE5"/>
    <w:rsid w:val="00350225"/>
    <w:rsid w:val="0035032D"/>
    <w:rsid w:val="0035150A"/>
    <w:rsid w:val="003561DA"/>
    <w:rsid w:val="003579F0"/>
    <w:rsid w:val="00357C03"/>
    <w:rsid w:val="00357CC8"/>
    <w:rsid w:val="00357FCA"/>
    <w:rsid w:val="00360A01"/>
    <w:rsid w:val="00361A9B"/>
    <w:rsid w:val="0036225E"/>
    <w:rsid w:val="00362342"/>
    <w:rsid w:val="00362D2F"/>
    <w:rsid w:val="00363BED"/>
    <w:rsid w:val="00363FCA"/>
    <w:rsid w:val="00366AB6"/>
    <w:rsid w:val="00366DA6"/>
    <w:rsid w:val="00367988"/>
    <w:rsid w:val="003703FB"/>
    <w:rsid w:val="00370C84"/>
    <w:rsid w:val="0037256F"/>
    <w:rsid w:val="003725A1"/>
    <w:rsid w:val="00372E14"/>
    <w:rsid w:val="00372EC9"/>
    <w:rsid w:val="00373D3B"/>
    <w:rsid w:val="003765A0"/>
    <w:rsid w:val="00376DDD"/>
    <w:rsid w:val="0037727D"/>
    <w:rsid w:val="0038117E"/>
    <w:rsid w:val="00382FAA"/>
    <w:rsid w:val="00383B96"/>
    <w:rsid w:val="0038465E"/>
    <w:rsid w:val="00387C44"/>
    <w:rsid w:val="00391F48"/>
    <w:rsid w:val="00394109"/>
    <w:rsid w:val="00396116"/>
    <w:rsid w:val="00397E9E"/>
    <w:rsid w:val="003A1FD5"/>
    <w:rsid w:val="003A2A66"/>
    <w:rsid w:val="003A49A6"/>
    <w:rsid w:val="003A49F3"/>
    <w:rsid w:val="003A583F"/>
    <w:rsid w:val="003A5D46"/>
    <w:rsid w:val="003A6472"/>
    <w:rsid w:val="003B0396"/>
    <w:rsid w:val="003B0B0F"/>
    <w:rsid w:val="003B4ADB"/>
    <w:rsid w:val="003B4E75"/>
    <w:rsid w:val="003B567B"/>
    <w:rsid w:val="003B5993"/>
    <w:rsid w:val="003B6ED6"/>
    <w:rsid w:val="003B753C"/>
    <w:rsid w:val="003C0D6F"/>
    <w:rsid w:val="003C25F3"/>
    <w:rsid w:val="003C6E72"/>
    <w:rsid w:val="003D0147"/>
    <w:rsid w:val="003D115D"/>
    <w:rsid w:val="003D1488"/>
    <w:rsid w:val="003D1655"/>
    <w:rsid w:val="003D2C80"/>
    <w:rsid w:val="003D3840"/>
    <w:rsid w:val="003D4907"/>
    <w:rsid w:val="003D696A"/>
    <w:rsid w:val="003D6C9B"/>
    <w:rsid w:val="003E0D5A"/>
    <w:rsid w:val="003E1A49"/>
    <w:rsid w:val="003E244C"/>
    <w:rsid w:val="003E29BA"/>
    <w:rsid w:val="003E7123"/>
    <w:rsid w:val="003E745C"/>
    <w:rsid w:val="003F0C5E"/>
    <w:rsid w:val="003F1644"/>
    <w:rsid w:val="003F2CD2"/>
    <w:rsid w:val="003F3B17"/>
    <w:rsid w:val="003F4F7F"/>
    <w:rsid w:val="00403074"/>
    <w:rsid w:val="00404092"/>
    <w:rsid w:val="0040560E"/>
    <w:rsid w:val="0040626F"/>
    <w:rsid w:val="004118A4"/>
    <w:rsid w:val="00413924"/>
    <w:rsid w:val="00413C75"/>
    <w:rsid w:val="004148B2"/>
    <w:rsid w:val="00414D60"/>
    <w:rsid w:val="00414EAE"/>
    <w:rsid w:val="00416022"/>
    <w:rsid w:val="00416AF6"/>
    <w:rsid w:val="0041756F"/>
    <w:rsid w:val="00417D6C"/>
    <w:rsid w:val="004238CD"/>
    <w:rsid w:val="00425A29"/>
    <w:rsid w:val="00426141"/>
    <w:rsid w:val="00430A0F"/>
    <w:rsid w:val="00431655"/>
    <w:rsid w:val="00432FE2"/>
    <w:rsid w:val="00433495"/>
    <w:rsid w:val="00433E9D"/>
    <w:rsid w:val="00433FC7"/>
    <w:rsid w:val="00434EA3"/>
    <w:rsid w:val="00435426"/>
    <w:rsid w:val="004367C3"/>
    <w:rsid w:val="00437A9B"/>
    <w:rsid w:val="00440928"/>
    <w:rsid w:val="00442019"/>
    <w:rsid w:val="004430B7"/>
    <w:rsid w:val="00443441"/>
    <w:rsid w:val="00444F68"/>
    <w:rsid w:val="00447B41"/>
    <w:rsid w:val="00451CF5"/>
    <w:rsid w:val="004520B1"/>
    <w:rsid w:val="00452BE3"/>
    <w:rsid w:val="004549E5"/>
    <w:rsid w:val="00454C04"/>
    <w:rsid w:val="004553FB"/>
    <w:rsid w:val="004559B8"/>
    <w:rsid w:val="00455F35"/>
    <w:rsid w:val="00460150"/>
    <w:rsid w:val="00460261"/>
    <w:rsid w:val="00461D5E"/>
    <w:rsid w:val="004628F5"/>
    <w:rsid w:val="0046459E"/>
    <w:rsid w:val="00465A0B"/>
    <w:rsid w:val="00465E7F"/>
    <w:rsid w:val="004663F1"/>
    <w:rsid w:val="004676B7"/>
    <w:rsid w:val="00475C4A"/>
    <w:rsid w:val="00475F92"/>
    <w:rsid w:val="00476293"/>
    <w:rsid w:val="00490C5D"/>
    <w:rsid w:val="00491BD6"/>
    <w:rsid w:val="00492B86"/>
    <w:rsid w:val="0049304B"/>
    <w:rsid w:val="004933ED"/>
    <w:rsid w:val="004A1081"/>
    <w:rsid w:val="004A131B"/>
    <w:rsid w:val="004A1332"/>
    <w:rsid w:val="004A1FE9"/>
    <w:rsid w:val="004A2619"/>
    <w:rsid w:val="004A2BD3"/>
    <w:rsid w:val="004A695C"/>
    <w:rsid w:val="004B0C26"/>
    <w:rsid w:val="004B2552"/>
    <w:rsid w:val="004B385E"/>
    <w:rsid w:val="004B401A"/>
    <w:rsid w:val="004B4A8D"/>
    <w:rsid w:val="004B6AD7"/>
    <w:rsid w:val="004B7856"/>
    <w:rsid w:val="004C1AB2"/>
    <w:rsid w:val="004D06C9"/>
    <w:rsid w:val="004D2408"/>
    <w:rsid w:val="004D2C04"/>
    <w:rsid w:val="004D4587"/>
    <w:rsid w:val="004D4EAE"/>
    <w:rsid w:val="004D6D8A"/>
    <w:rsid w:val="004E2BE3"/>
    <w:rsid w:val="004E31C1"/>
    <w:rsid w:val="004E4AC0"/>
    <w:rsid w:val="004E72B3"/>
    <w:rsid w:val="004F0B5F"/>
    <w:rsid w:val="004F46E8"/>
    <w:rsid w:val="004F6236"/>
    <w:rsid w:val="004F7E88"/>
    <w:rsid w:val="00500127"/>
    <w:rsid w:val="00501CF4"/>
    <w:rsid w:val="00502663"/>
    <w:rsid w:val="0050469A"/>
    <w:rsid w:val="00504A88"/>
    <w:rsid w:val="005053B8"/>
    <w:rsid w:val="00510109"/>
    <w:rsid w:val="005107E3"/>
    <w:rsid w:val="00512BC4"/>
    <w:rsid w:val="0051402F"/>
    <w:rsid w:val="005148A8"/>
    <w:rsid w:val="0051490A"/>
    <w:rsid w:val="00516A7A"/>
    <w:rsid w:val="005177BD"/>
    <w:rsid w:val="00521B67"/>
    <w:rsid w:val="005226C7"/>
    <w:rsid w:val="00525F10"/>
    <w:rsid w:val="00526BB7"/>
    <w:rsid w:val="00527419"/>
    <w:rsid w:val="0053218A"/>
    <w:rsid w:val="005328F9"/>
    <w:rsid w:val="00534750"/>
    <w:rsid w:val="005358A5"/>
    <w:rsid w:val="00536DE6"/>
    <w:rsid w:val="00537CB1"/>
    <w:rsid w:val="00537E1E"/>
    <w:rsid w:val="005403B0"/>
    <w:rsid w:val="00540617"/>
    <w:rsid w:val="00541EA1"/>
    <w:rsid w:val="0054220E"/>
    <w:rsid w:val="00542635"/>
    <w:rsid w:val="00545D90"/>
    <w:rsid w:val="0055318D"/>
    <w:rsid w:val="005534B0"/>
    <w:rsid w:val="005545AE"/>
    <w:rsid w:val="00557FEA"/>
    <w:rsid w:val="00560376"/>
    <w:rsid w:val="00560AF1"/>
    <w:rsid w:val="00561059"/>
    <w:rsid w:val="00561AD9"/>
    <w:rsid w:val="00563B73"/>
    <w:rsid w:val="005654A6"/>
    <w:rsid w:val="00573DC2"/>
    <w:rsid w:val="00573E04"/>
    <w:rsid w:val="0057537D"/>
    <w:rsid w:val="00575934"/>
    <w:rsid w:val="00576DD7"/>
    <w:rsid w:val="005773D1"/>
    <w:rsid w:val="00580638"/>
    <w:rsid w:val="00581B05"/>
    <w:rsid w:val="005828F8"/>
    <w:rsid w:val="00582C45"/>
    <w:rsid w:val="00583303"/>
    <w:rsid w:val="00583336"/>
    <w:rsid w:val="00583F3B"/>
    <w:rsid w:val="00584431"/>
    <w:rsid w:val="00584FE0"/>
    <w:rsid w:val="00585119"/>
    <w:rsid w:val="005873C7"/>
    <w:rsid w:val="00591344"/>
    <w:rsid w:val="00593763"/>
    <w:rsid w:val="00594143"/>
    <w:rsid w:val="0059581C"/>
    <w:rsid w:val="00595A28"/>
    <w:rsid w:val="005979C0"/>
    <w:rsid w:val="00597C97"/>
    <w:rsid w:val="005A1487"/>
    <w:rsid w:val="005A403A"/>
    <w:rsid w:val="005A4AF9"/>
    <w:rsid w:val="005A59EB"/>
    <w:rsid w:val="005A63DF"/>
    <w:rsid w:val="005A682C"/>
    <w:rsid w:val="005A68BF"/>
    <w:rsid w:val="005A770B"/>
    <w:rsid w:val="005B10EA"/>
    <w:rsid w:val="005B2467"/>
    <w:rsid w:val="005B3040"/>
    <w:rsid w:val="005B3083"/>
    <w:rsid w:val="005B5055"/>
    <w:rsid w:val="005B5267"/>
    <w:rsid w:val="005B596F"/>
    <w:rsid w:val="005B5A13"/>
    <w:rsid w:val="005B6600"/>
    <w:rsid w:val="005B7953"/>
    <w:rsid w:val="005C011B"/>
    <w:rsid w:val="005C06EB"/>
    <w:rsid w:val="005C3A37"/>
    <w:rsid w:val="005C6F1D"/>
    <w:rsid w:val="005D55CB"/>
    <w:rsid w:val="005E1AB9"/>
    <w:rsid w:val="005E31C1"/>
    <w:rsid w:val="005E4677"/>
    <w:rsid w:val="005E5356"/>
    <w:rsid w:val="005E5B83"/>
    <w:rsid w:val="005E78B4"/>
    <w:rsid w:val="005E7B72"/>
    <w:rsid w:val="005F2EE6"/>
    <w:rsid w:val="005F330C"/>
    <w:rsid w:val="005F6B94"/>
    <w:rsid w:val="005F7865"/>
    <w:rsid w:val="005F7BD7"/>
    <w:rsid w:val="0060002D"/>
    <w:rsid w:val="006008AA"/>
    <w:rsid w:val="006023C3"/>
    <w:rsid w:val="00602CD9"/>
    <w:rsid w:val="00604A01"/>
    <w:rsid w:val="00604AD8"/>
    <w:rsid w:val="00605319"/>
    <w:rsid w:val="00606054"/>
    <w:rsid w:val="00607EE0"/>
    <w:rsid w:val="0061229B"/>
    <w:rsid w:val="00612ACE"/>
    <w:rsid w:val="00613A6F"/>
    <w:rsid w:val="00615E07"/>
    <w:rsid w:val="00617166"/>
    <w:rsid w:val="006176EF"/>
    <w:rsid w:val="00621A20"/>
    <w:rsid w:val="00625F1B"/>
    <w:rsid w:val="0062635F"/>
    <w:rsid w:val="00626397"/>
    <w:rsid w:val="006269AB"/>
    <w:rsid w:val="0062745B"/>
    <w:rsid w:val="0062779E"/>
    <w:rsid w:val="00630FDF"/>
    <w:rsid w:val="0063110D"/>
    <w:rsid w:val="00631BEF"/>
    <w:rsid w:val="00631C25"/>
    <w:rsid w:val="00636F9B"/>
    <w:rsid w:val="00643351"/>
    <w:rsid w:val="00645D28"/>
    <w:rsid w:val="006517CE"/>
    <w:rsid w:val="00651BC6"/>
    <w:rsid w:val="0065348A"/>
    <w:rsid w:val="00653DF9"/>
    <w:rsid w:val="00653E97"/>
    <w:rsid w:val="006576B4"/>
    <w:rsid w:val="00657A94"/>
    <w:rsid w:val="006600A0"/>
    <w:rsid w:val="006620FB"/>
    <w:rsid w:val="00662185"/>
    <w:rsid w:val="00663326"/>
    <w:rsid w:val="0067016E"/>
    <w:rsid w:val="00671215"/>
    <w:rsid w:val="006716D1"/>
    <w:rsid w:val="00672D16"/>
    <w:rsid w:val="00672FFB"/>
    <w:rsid w:val="00675265"/>
    <w:rsid w:val="0067784B"/>
    <w:rsid w:val="00680456"/>
    <w:rsid w:val="00681B34"/>
    <w:rsid w:val="00682785"/>
    <w:rsid w:val="006849B6"/>
    <w:rsid w:val="006854FB"/>
    <w:rsid w:val="00685EDF"/>
    <w:rsid w:val="00690C57"/>
    <w:rsid w:val="00692DF5"/>
    <w:rsid w:val="00694376"/>
    <w:rsid w:val="006944A2"/>
    <w:rsid w:val="00695627"/>
    <w:rsid w:val="006A0D06"/>
    <w:rsid w:val="006A14DB"/>
    <w:rsid w:val="006A14E2"/>
    <w:rsid w:val="006A1DDA"/>
    <w:rsid w:val="006A225E"/>
    <w:rsid w:val="006A2657"/>
    <w:rsid w:val="006A2A41"/>
    <w:rsid w:val="006A305F"/>
    <w:rsid w:val="006A5784"/>
    <w:rsid w:val="006A5F76"/>
    <w:rsid w:val="006A66A1"/>
    <w:rsid w:val="006B0D59"/>
    <w:rsid w:val="006B1F2B"/>
    <w:rsid w:val="006B6090"/>
    <w:rsid w:val="006C0205"/>
    <w:rsid w:val="006C09D3"/>
    <w:rsid w:val="006C1EF8"/>
    <w:rsid w:val="006C40CC"/>
    <w:rsid w:val="006C4CDD"/>
    <w:rsid w:val="006C4D39"/>
    <w:rsid w:val="006C7BFD"/>
    <w:rsid w:val="006D0578"/>
    <w:rsid w:val="006D1CDB"/>
    <w:rsid w:val="006D6345"/>
    <w:rsid w:val="006D694E"/>
    <w:rsid w:val="006D6C23"/>
    <w:rsid w:val="006E20EB"/>
    <w:rsid w:val="006E262E"/>
    <w:rsid w:val="006E5333"/>
    <w:rsid w:val="006E5AB3"/>
    <w:rsid w:val="006E773F"/>
    <w:rsid w:val="006E7E81"/>
    <w:rsid w:val="006F01FD"/>
    <w:rsid w:val="006F1AB8"/>
    <w:rsid w:val="006F4B23"/>
    <w:rsid w:val="006F4BC5"/>
    <w:rsid w:val="006F52EF"/>
    <w:rsid w:val="006F78FA"/>
    <w:rsid w:val="00702F63"/>
    <w:rsid w:val="00704B32"/>
    <w:rsid w:val="007067C5"/>
    <w:rsid w:val="00711559"/>
    <w:rsid w:val="00711CF7"/>
    <w:rsid w:val="00713AF4"/>
    <w:rsid w:val="0071484D"/>
    <w:rsid w:val="00715029"/>
    <w:rsid w:val="007169B0"/>
    <w:rsid w:val="00716A09"/>
    <w:rsid w:val="007170AF"/>
    <w:rsid w:val="00717F81"/>
    <w:rsid w:val="0072192C"/>
    <w:rsid w:val="00721F52"/>
    <w:rsid w:val="007232CF"/>
    <w:rsid w:val="00723BE1"/>
    <w:rsid w:val="00724926"/>
    <w:rsid w:val="007260B8"/>
    <w:rsid w:val="00726869"/>
    <w:rsid w:val="007309A2"/>
    <w:rsid w:val="00731166"/>
    <w:rsid w:val="00731382"/>
    <w:rsid w:val="00731B26"/>
    <w:rsid w:val="00732048"/>
    <w:rsid w:val="00733929"/>
    <w:rsid w:val="00736ED5"/>
    <w:rsid w:val="007372FF"/>
    <w:rsid w:val="0074002C"/>
    <w:rsid w:val="007419D6"/>
    <w:rsid w:val="00742D09"/>
    <w:rsid w:val="00744FBA"/>
    <w:rsid w:val="00745269"/>
    <w:rsid w:val="00745B09"/>
    <w:rsid w:val="00746D40"/>
    <w:rsid w:val="007506C5"/>
    <w:rsid w:val="00752ECB"/>
    <w:rsid w:val="00753739"/>
    <w:rsid w:val="00754FCD"/>
    <w:rsid w:val="00755061"/>
    <w:rsid w:val="00755CB0"/>
    <w:rsid w:val="00755FD9"/>
    <w:rsid w:val="0075675E"/>
    <w:rsid w:val="00760113"/>
    <w:rsid w:val="00760411"/>
    <w:rsid w:val="007614DD"/>
    <w:rsid w:val="007635A1"/>
    <w:rsid w:val="0076444E"/>
    <w:rsid w:val="00765B2B"/>
    <w:rsid w:val="00766EEC"/>
    <w:rsid w:val="007715E0"/>
    <w:rsid w:val="00771CAE"/>
    <w:rsid w:val="00771EE5"/>
    <w:rsid w:val="00772958"/>
    <w:rsid w:val="00772A17"/>
    <w:rsid w:val="00773C87"/>
    <w:rsid w:val="00774F82"/>
    <w:rsid w:val="007756DF"/>
    <w:rsid w:val="00776BD2"/>
    <w:rsid w:val="00776DA2"/>
    <w:rsid w:val="0078060D"/>
    <w:rsid w:val="0078092A"/>
    <w:rsid w:val="00784432"/>
    <w:rsid w:val="00785231"/>
    <w:rsid w:val="0078526D"/>
    <w:rsid w:val="0078697C"/>
    <w:rsid w:val="00786CD8"/>
    <w:rsid w:val="00787556"/>
    <w:rsid w:val="00791E7B"/>
    <w:rsid w:val="0079314D"/>
    <w:rsid w:val="0079404A"/>
    <w:rsid w:val="00796576"/>
    <w:rsid w:val="007A1A19"/>
    <w:rsid w:val="007A2CA7"/>
    <w:rsid w:val="007A32E1"/>
    <w:rsid w:val="007A4537"/>
    <w:rsid w:val="007A6AC4"/>
    <w:rsid w:val="007B0D06"/>
    <w:rsid w:val="007B2098"/>
    <w:rsid w:val="007B20A3"/>
    <w:rsid w:val="007B21CD"/>
    <w:rsid w:val="007B2865"/>
    <w:rsid w:val="007B3F50"/>
    <w:rsid w:val="007B4095"/>
    <w:rsid w:val="007B413A"/>
    <w:rsid w:val="007B5534"/>
    <w:rsid w:val="007B6182"/>
    <w:rsid w:val="007B7779"/>
    <w:rsid w:val="007C0E29"/>
    <w:rsid w:val="007C1D93"/>
    <w:rsid w:val="007C2996"/>
    <w:rsid w:val="007C5C44"/>
    <w:rsid w:val="007C6BC7"/>
    <w:rsid w:val="007C7767"/>
    <w:rsid w:val="007C7E8E"/>
    <w:rsid w:val="007D0FA9"/>
    <w:rsid w:val="007D34F9"/>
    <w:rsid w:val="007D3B71"/>
    <w:rsid w:val="007D44FA"/>
    <w:rsid w:val="007D4C2F"/>
    <w:rsid w:val="007E1776"/>
    <w:rsid w:val="007E442A"/>
    <w:rsid w:val="007E6A69"/>
    <w:rsid w:val="007F0FF4"/>
    <w:rsid w:val="007F2670"/>
    <w:rsid w:val="007F29BC"/>
    <w:rsid w:val="008015F0"/>
    <w:rsid w:val="008020A6"/>
    <w:rsid w:val="0080231A"/>
    <w:rsid w:val="00803588"/>
    <w:rsid w:val="00805248"/>
    <w:rsid w:val="00805718"/>
    <w:rsid w:val="008070A4"/>
    <w:rsid w:val="0081277E"/>
    <w:rsid w:val="00812A35"/>
    <w:rsid w:val="00813517"/>
    <w:rsid w:val="0081484C"/>
    <w:rsid w:val="00816F5D"/>
    <w:rsid w:val="008228D3"/>
    <w:rsid w:val="00822926"/>
    <w:rsid w:val="00822FF1"/>
    <w:rsid w:val="0082531C"/>
    <w:rsid w:val="008270FD"/>
    <w:rsid w:val="00827C4F"/>
    <w:rsid w:val="00830F1C"/>
    <w:rsid w:val="0083245F"/>
    <w:rsid w:val="008352CC"/>
    <w:rsid w:val="0083569C"/>
    <w:rsid w:val="008365C2"/>
    <w:rsid w:val="00837920"/>
    <w:rsid w:val="00840416"/>
    <w:rsid w:val="0084060B"/>
    <w:rsid w:val="0084154C"/>
    <w:rsid w:val="00842007"/>
    <w:rsid w:val="00843506"/>
    <w:rsid w:val="008446CC"/>
    <w:rsid w:val="00845867"/>
    <w:rsid w:val="008459A4"/>
    <w:rsid w:val="00846AB0"/>
    <w:rsid w:val="00847312"/>
    <w:rsid w:val="0084794F"/>
    <w:rsid w:val="0085064C"/>
    <w:rsid w:val="00851FB3"/>
    <w:rsid w:val="008521B8"/>
    <w:rsid w:val="0085235E"/>
    <w:rsid w:val="00852419"/>
    <w:rsid w:val="00854D63"/>
    <w:rsid w:val="00854E7D"/>
    <w:rsid w:val="00857048"/>
    <w:rsid w:val="00857FB6"/>
    <w:rsid w:val="00860DA8"/>
    <w:rsid w:val="008614E5"/>
    <w:rsid w:val="008619CC"/>
    <w:rsid w:val="00862030"/>
    <w:rsid w:val="008631A5"/>
    <w:rsid w:val="00864ADD"/>
    <w:rsid w:val="00864F42"/>
    <w:rsid w:val="00865794"/>
    <w:rsid w:val="00865910"/>
    <w:rsid w:val="00865CB5"/>
    <w:rsid w:val="00870BB5"/>
    <w:rsid w:val="00871910"/>
    <w:rsid w:val="00871DF3"/>
    <w:rsid w:val="008722DF"/>
    <w:rsid w:val="00872B24"/>
    <w:rsid w:val="008747BA"/>
    <w:rsid w:val="00875D25"/>
    <w:rsid w:val="00877799"/>
    <w:rsid w:val="008805F7"/>
    <w:rsid w:val="0088126A"/>
    <w:rsid w:val="008820BE"/>
    <w:rsid w:val="00883DA9"/>
    <w:rsid w:val="00883FD6"/>
    <w:rsid w:val="0088440A"/>
    <w:rsid w:val="00884AA1"/>
    <w:rsid w:val="00885DE3"/>
    <w:rsid w:val="008860F4"/>
    <w:rsid w:val="008864D6"/>
    <w:rsid w:val="008875BA"/>
    <w:rsid w:val="00893F80"/>
    <w:rsid w:val="00893FF6"/>
    <w:rsid w:val="008944C5"/>
    <w:rsid w:val="00896D5C"/>
    <w:rsid w:val="008A05C7"/>
    <w:rsid w:val="008A0976"/>
    <w:rsid w:val="008A0D3C"/>
    <w:rsid w:val="008A114E"/>
    <w:rsid w:val="008A2F16"/>
    <w:rsid w:val="008A3D9F"/>
    <w:rsid w:val="008A49DA"/>
    <w:rsid w:val="008A56A0"/>
    <w:rsid w:val="008A5ADD"/>
    <w:rsid w:val="008A6BC7"/>
    <w:rsid w:val="008B010A"/>
    <w:rsid w:val="008B3D56"/>
    <w:rsid w:val="008B5326"/>
    <w:rsid w:val="008B7A64"/>
    <w:rsid w:val="008B7B1F"/>
    <w:rsid w:val="008C239F"/>
    <w:rsid w:val="008C58C2"/>
    <w:rsid w:val="008C6537"/>
    <w:rsid w:val="008C6D40"/>
    <w:rsid w:val="008D0AEF"/>
    <w:rsid w:val="008D3C0B"/>
    <w:rsid w:val="008D55DD"/>
    <w:rsid w:val="008D6042"/>
    <w:rsid w:val="008D6624"/>
    <w:rsid w:val="008D6D5F"/>
    <w:rsid w:val="008D7052"/>
    <w:rsid w:val="008D79A5"/>
    <w:rsid w:val="008E1E22"/>
    <w:rsid w:val="008E2088"/>
    <w:rsid w:val="008E2258"/>
    <w:rsid w:val="008E3D0C"/>
    <w:rsid w:val="008E5841"/>
    <w:rsid w:val="008E58CE"/>
    <w:rsid w:val="008F01C7"/>
    <w:rsid w:val="008F4ECF"/>
    <w:rsid w:val="008F6DBB"/>
    <w:rsid w:val="008F738D"/>
    <w:rsid w:val="009018D2"/>
    <w:rsid w:val="00903026"/>
    <w:rsid w:val="0090393C"/>
    <w:rsid w:val="009039F7"/>
    <w:rsid w:val="00904812"/>
    <w:rsid w:val="009050B2"/>
    <w:rsid w:val="00905E0F"/>
    <w:rsid w:val="00906AE1"/>
    <w:rsid w:val="00910D21"/>
    <w:rsid w:val="009135AB"/>
    <w:rsid w:val="009154CA"/>
    <w:rsid w:val="0091572B"/>
    <w:rsid w:val="00916F28"/>
    <w:rsid w:val="00917080"/>
    <w:rsid w:val="00921946"/>
    <w:rsid w:val="00923EC3"/>
    <w:rsid w:val="00924D36"/>
    <w:rsid w:val="00924D9B"/>
    <w:rsid w:val="00925356"/>
    <w:rsid w:val="009262AF"/>
    <w:rsid w:val="0092747E"/>
    <w:rsid w:val="00930B88"/>
    <w:rsid w:val="00934E5D"/>
    <w:rsid w:val="00936BAB"/>
    <w:rsid w:val="00940C81"/>
    <w:rsid w:val="009437A1"/>
    <w:rsid w:val="00944F8E"/>
    <w:rsid w:val="009450B9"/>
    <w:rsid w:val="009460BF"/>
    <w:rsid w:val="00947128"/>
    <w:rsid w:val="0095079B"/>
    <w:rsid w:val="009519E6"/>
    <w:rsid w:val="00952463"/>
    <w:rsid w:val="00952912"/>
    <w:rsid w:val="009533F9"/>
    <w:rsid w:val="00956660"/>
    <w:rsid w:val="00957DDE"/>
    <w:rsid w:val="00957FDD"/>
    <w:rsid w:val="0096116F"/>
    <w:rsid w:val="00962D8B"/>
    <w:rsid w:val="00964A36"/>
    <w:rsid w:val="009656CF"/>
    <w:rsid w:val="00966EC5"/>
    <w:rsid w:val="00967820"/>
    <w:rsid w:val="009709FF"/>
    <w:rsid w:val="00970AB4"/>
    <w:rsid w:val="00971411"/>
    <w:rsid w:val="009738D8"/>
    <w:rsid w:val="009740B8"/>
    <w:rsid w:val="00976A60"/>
    <w:rsid w:val="009774C1"/>
    <w:rsid w:val="009837B1"/>
    <w:rsid w:val="009853CC"/>
    <w:rsid w:val="009866CC"/>
    <w:rsid w:val="009874E4"/>
    <w:rsid w:val="00992399"/>
    <w:rsid w:val="0099255E"/>
    <w:rsid w:val="00992831"/>
    <w:rsid w:val="0099309A"/>
    <w:rsid w:val="00994DF3"/>
    <w:rsid w:val="009957AA"/>
    <w:rsid w:val="009960A9"/>
    <w:rsid w:val="00997B80"/>
    <w:rsid w:val="00997D93"/>
    <w:rsid w:val="009A0112"/>
    <w:rsid w:val="009A01CA"/>
    <w:rsid w:val="009A067C"/>
    <w:rsid w:val="009A1222"/>
    <w:rsid w:val="009A1777"/>
    <w:rsid w:val="009A1DE9"/>
    <w:rsid w:val="009A21E0"/>
    <w:rsid w:val="009A3ABD"/>
    <w:rsid w:val="009A494A"/>
    <w:rsid w:val="009A5851"/>
    <w:rsid w:val="009A6D5A"/>
    <w:rsid w:val="009A78DE"/>
    <w:rsid w:val="009B0903"/>
    <w:rsid w:val="009B0ED1"/>
    <w:rsid w:val="009B20DF"/>
    <w:rsid w:val="009B27E0"/>
    <w:rsid w:val="009B3A8E"/>
    <w:rsid w:val="009B3C8D"/>
    <w:rsid w:val="009B4522"/>
    <w:rsid w:val="009B50E7"/>
    <w:rsid w:val="009B6E8F"/>
    <w:rsid w:val="009C2C70"/>
    <w:rsid w:val="009C3437"/>
    <w:rsid w:val="009C36F1"/>
    <w:rsid w:val="009C4446"/>
    <w:rsid w:val="009C4F2F"/>
    <w:rsid w:val="009C66A1"/>
    <w:rsid w:val="009C7AEB"/>
    <w:rsid w:val="009D0E17"/>
    <w:rsid w:val="009D22F6"/>
    <w:rsid w:val="009D26A6"/>
    <w:rsid w:val="009D34AB"/>
    <w:rsid w:val="009D4D28"/>
    <w:rsid w:val="009D6748"/>
    <w:rsid w:val="009D768B"/>
    <w:rsid w:val="009D7C56"/>
    <w:rsid w:val="009E003B"/>
    <w:rsid w:val="009E04DB"/>
    <w:rsid w:val="009E12BC"/>
    <w:rsid w:val="009E4758"/>
    <w:rsid w:val="009E5F8D"/>
    <w:rsid w:val="009E603B"/>
    <w:rsid w:val="009F29B7"/>
    <w:rsid w:val="009F49AF"/>
    <w:rsid w:val="009F4E35"/>
    <w:rsid w:val="00A00410"/>
    <w:rsid w:val="00A00CAA"/>
    <w:rsid w:val="00A029F7"/>
    <w:rsid w:val="00A055A5"/>
    <w:rsid w:val="00A062DE"/>
    <w:rsid w:val="00A07433"/>
    <w:rsid w:val="00A10342"/>
    <w:rsid w:val="00A11016"/>
    <w:rsid w:val="00A11CB1"/>
    <w:rsid w:val="00A14B15"/>
    <w:rsid w:val="00A15454"/>
    <w:rsid w:val="00A16CF7"/>
    <w:rsid w:val="00A17F5A"/>
    <w:rsid w:val="00A22129"/>
    <w:rsid w:val="00A2308C"/>
    <w:rsid w:val="00A2459C"/>
    <w:rsid w:val="00A2511E"/>
    <w:rsid w:val="00A27ED9"/>
    <w:rsid w:val="00A30FBE"/>
    <w:rsid w:val="00A342F3"/>
    <w:rsid w:val="00A35234"/>
    <w:rsid w:val="00A36FC6"/>
    <w:rsid w:val="00A4349D"/>
    <w:rsid w:val="00A518AC"/>
    <w:rsid w:val="00A519A2"/>
    <w:rsid w:val="00A53223"/>
    <w:rsid w:val="00A542BE"/>
    <w:rsid w:val="00A5612D"/>
    <w:rsid w:val="00A566DF"/>
    <w:rsid w:val="00A56C60"/>
    <w:rsid w:val="00A60AE8"/>
    <w:rsid w:val="00A6211C"/>
    <w:rsid w:val="00A632A2"/>
    <w:rsid w:val="00A63336"/>
    <w:rsid w:val="00A64CFD"/>
    <w:rsid w:val="00A64EBE"/>
    <w:rsid w:val="00A65F34"/>
    <w:rsid w:val="00A661F8"/>
    <w:rsid w:val="00A66273"/>
    <w:rsid w:val="00A678AD"/>
    <w:rsid w:val="00A67AA8"/>
    <w:rsid w:val="00A70A37"/>
    <w:rsid w:val="00A70D5C"/>
    <w:rsid w:val="00A71389"/>
    <w:rsid w:val="00A730B3"/>
    <w:rsid w:val="00A73996"/>
    <w:rsid w:val="00A74A7E"/>
    <w:rsid w:val="00A74DB2"/>
    <w:rsid w:val="00A74E09"/>
    <w:rsid w:val="00A77358"/>
    <w:rsid w:val="00A805D8"/>
    <w:rsid w:val="00A85032"/>
    <w:rsid w:val="00A857C3"/>
    <w:rsid w:val="00A85B3C"/>
    <w:rsid w:val="00A87CAD"/>
    <w:rsid w:val="00A87F43"/>
    <w:rsid w:val="00A929C3"/>
    <w:rsid w:val="00A95D45"/>
    <w:rsid w:val="00A9703B"/>
    <w:rsid w:val="00A97B97"/>
    <w:rsid w:val="00A97E01"/>
    <w:rsid w:val="00AA177D"/>
    <w:rsid w:val="00AA212B"/>
    <w:rsid w:val="00AA22CE"/>
    <w:rsid w:val="00AA2989"/>
    <w:rsid w:val="00AA3881"/>
    <w:rsid w:val="00AA5756"/>
    <w:rsid w:val="00AA5764"/>
    <w:rsid w:val="00AB0B02"/>
    <w:rsid w:val="00AB12A6"/>
    <w:rsid w:val="00AB2027"/>
    <w:rsid w:val="00AB20C4"/>
    <w:rsid w:val="00AB4E15"/>
    <w:rsid w:val="00AB6480"/>
    <w:rsid w:val="00AC1152"/>
    <w:rsid w:val="00AC21EF"/>
    <w:rsid w:val="00AC365C"/>
    <w:rsid w:val="00AC51E3"/>
    <w:rsid w:val="00AC7A2D"/>
    <w:rsid w:val="00AC7F40"/>
    <w:rsid w:val="00AD1747"/>
    <w:rsid w:val="00AD484A"/>
    <w:rsid w:val="00AD4ED8"/>
    <w:rsid w:val="00AD5C24"/>
    <w:rsid w:val="00AD7BF2"/>
    <w:rsid w:val="00AE0261"/>
    <w:rsid w:val="00AE25C4"/>
    <w:rsid w:val="00AE388B"/>
    <w:rsid w:val="00AE3E46"/>
    <w:rsid w:val="00AE7639"/>
    <w:rsid w:val="00AE7902"/>
    <w:rsid w:val="00AF08CC"/>
    <w:rsid w:val="00AF0938"/>
    <w:rsid w:val="00AF0B43"/>
    <w:rsid w:val="00AF11FB"/>
    <w:rsid w:val="00AF2B63"/>
    <w:rsid w:val="00AF34A9"/>
    <w:rsid w:val="00AF39FC"/>
    <w:rsid w:val="00AF3DE6"/>
    <w:rsid w:val="00AF5FDE"/>
    <w:rsid w:val="00AF69C0"/>
    <w:rsid w:val="00AF6A96"/>
    <w:rsid w:val="00AF74A7"/>
    <w:rsid w:val="00AF77C8"/>
    <w:rsid w:val="00B0030B"/>
    <w:rsid w:val="00B044CB"/>
    <w:rsid w:val="00B06A51"/>
    <w:rsid w:val="00B06CD5"/>
    <w:rsid w:val="00B10235"/>
    <w:rsid w:val="00B10519"/>
    <w:rsid w:val="00B105F7"/>
    <w:rsid w:val="00B106ED"/>
    <w:rsid w:val="00B1242B"/>
    <w:rsid w:val="00B1298D"/>
    <w:rsid w:val="00B21B1E"/>
    <w:rsid w:val="00B23D46"/>
    <w:rsid w:val="00B25859"/>
    <w:rsid w:val="00B26F5C"/>
    <w:rsid w:val="00B27520"/>
    <w:rsid w:val="00B30052"/>
    <w:rsid w:val="00B30AE8"/>
    <w:rsid w:val="00B33ADF"/>
    <w:rsid w:val="00B357BC"/>
    <w:rsid w:val="00B35C0C"/>
    <w:rsid w:val="00B37E23"/>
    <w:rsid w:val="00B40071"/>
    <w:rsid w:val="00B40EF9"/>
    <w:rsid w:val="00B41009"/>
    <w:rsid w:val="00B41F46"/>
    <w:rsid w:val="00B4320D"/>
    <w:rsid w:val="00B43481"/>
    <w:rsid w:val="00B443F1"/>
    <w:rsid w:val="00B454FE"/>
    <w:rsid w:val="00B47093"/>
    <w:rsid w:val="00B53E31"/>
    <w:rsid w:val="00B53E9E"/>
    <w:rsid w:val="00B54506"/>
    <w:rsid w:val="00B5457B"/>
    <w:rsid w:val="00B54DA7"/>
    <w:rsid w:val="00B576F9"/>
    <w:rsid w:val="00B57E56"/>
    <w:rsid w:val="00B60597"/>
    <w:rsid w:val="00B60FB0"/>
    <w:rsid w:val="00B623E3"/>
    <w:rsid w:val="00B63643"/>
    <w:rsid w:val="00B63679"/>
    <w:rsid w:val="00B637FA"/>
    <w:rsid w:val="00B660EE"/>
    <w:rsid w:val="00B66F32"/>
    <w:rsid w:val="00B6730E"/>
    <w:rsid w:val="00B71C70"/>
    <w:rsid w:val="00B71E27"/>
    <w:rsid w:val="00B72929"/>
    <w:rsid w:val="00B72FA8"/>
    <w:rsid w:val="00B737E7"/>
    <w:rsid w:val="00B75710"/>
    <w:rsid w:val="00B7685D"/>
    <w:rsid w:val="00B76CF9"/>
    <w:rsid w:val="00B7780A"/>
    <w:rsid w:val="00B83D5C"/>
    <w:rsid w:val="00B83DC3"/>
    <w:rsid w:val="00B84109"/>
    <w:rsid w:val="00B8628E"/>
    <w:rsid w:val="00B8709C"/>
    <w:rsid w:val="00B92371"/>
    <w:rsid w:val="00B92D8E"/>
    <w:rsid w:val="00B93558"/>
    <w:rsid w:val="00B94FF5"/>
    <w:rsid w:val="00B96118"/>
    <w:rsid w:val="00B976FB"/>
    <w:rsid w:val="00BA0033"/>
    <w:rsid w:val="00BA27D5"/>
    <w:rsid w:val="00BA6C4D"/>
    <w:rsid w:val="00BA7779"/>
    <w:rsid w:val="00BB14A8"/>
    <w:rsid w:val="00BB2BF5"/>
    <w:rsid w:val="00BB4ADF"/>
    <w:rsid w:val="00BB58D6"/>
    <w:rsid w:val="00BC153D"/>
    <w:rsid w:val="00BC1F51"/>
    <w:rsid w:val="00BC32F1"/>
    <w:rsid w:val="00BC334C"/>
    <w:rsid w:val="00BC352A"/>
    <w:rsid w:val="00BC4964"/>
    <w:rsid w:val="00BC53DB"/>
    <w:rsid w:val="00BC670B"/>
    <w:rsid w:val="00BC6DDD"/>
    <w:rsid w:val="00BC78F0"/>
    <w:rsid w:val="00BC7A69"/>
    <w:rsid w:val="00BD0820"/>
    <w:rsid w:val="00BD1752"/>
    <w:rsid w:val="00BD2FB5"/>
    <w:rsid w:val="00BD349F"/>
    <w:rsid w:val="00BD5747"/>
    <w:rsid w:val="00BD70B0"/>
    <w:rsid w:val="00BE12A7"/>
    <w:rsid w:val="00BE667A"/>
    <w:rsid w:val="00BE7D4B"/>
    <w:rsid w:val="00BF0B4C"/>
    <w:rsid w:val="00BF207E"/>
    <w:rsid w:val="00BF2BAF"/>
    <w:rsid w:val="00BF5354"/>
    <w:rsid w:val="00BF60CF"/>
    <w:rsid w:val="00C00DF0"/>
    <w:rsid w:val="00C01A37"/>
    <w:rsid w:val="00C01BCD"/>
    <w:rsid w:val="00C02232"/>
    <w:rsid w:val="00C04CFB"/>
    <w:rsid w:val="00C061B2"/>
    <w:rsid w:val="00C07B6A"/>
    <w:rsid w:val="00C1013D"/>
    <w:rsid w:val="00C10ABD"/>
    <w:rsid w:val="00C10F0F"/>
    <w:rsid w:val="00C11469"/>
    <w:rsid w:val="00C12C68"/>
    <w:rsid w:val="00C136EB"/>
    <w:rsid w:val="00C14500"/>
    <w:rsid w:val="00C1593B"/>
    <w:rsid w:val="00C16323"/>
    <w:rsid w:val="00C165D6"/>
    <w:rsid w:val="00C16953"/>
    <w:rsid w:val="00C203BD"/>
    <w:rsid w:val="00C20FEC"/>
    <w:rsid w:val="00C22181"/>
    <w:rsid w:val="00C23A5E"/>
    <w:rsid w:val="00C24059"/>
    <w:rsid w:val="00C25C09"/>
    <w:rsid w:val="00C260C2"/>
    <w:rsid w:val="00C27359"/>
    <w:rsid w:val="00C27C17"/>
    <w:rsid w:val="00C30C33"/>
    <w:rsid w:val="00C3156D"/>
    <w:rsid w:val="00C317A6"/>
    <w:rsid w:val="00C33826"/>
    <w:rsid w:val="00C35967"/>
    <w:rsid w:val="00C40BD0"/>
    <w:rsid w:val="00C40E2B"/>
    <w:rsid w:val="00C41915"/>
    <w:rsid w:val="00C42538"/>
    <w:rsid w:val="00C4333E"/>
    <w:rsid w:val="00C4396D"/>
    <w:rsid w:val="00C4498C"/>
    <w:rsid w:val="00C475F1"/>
    <w:rsid w:val="00C50642"/>
    <w:rsid w:val="00C51778"/>
    <w:rsid w:val="00C52838"/>
    <w:rsid w:val="00C539C8"/>
    <w:rsid w:val="00C53C58"/>
    <w:rsid w:val="00C634CE"/>
    <w:rsid w:val="00C664F9"/>
    <w:rsid w:val="00C670AF"/>
    <w:rsid w:val="00C716A9"/>
    <w:rsid w:val="00C75504"/>
    <w:rsid w:val="00C77CB4"/>
    <w:rsid w:val="00C81CA5"/>
    <w:rsid w:val="00C81FF7"/>
    <w:rsid w:val="00C83382"/>
    <w:rsid w:val="00C83D2D"/>
    <w:rsid w:val="00C84013"/>
    <w:rsid w:val="00C8468F"/>
    <w:rsid w:val="00C8627B"/>
    <w:rsid w:val="00C87F6B"/>
    <w:rsid w:val="00C9060C"/>
    <w:rsid w:val="00C909E7"/>
    <w:rsid w:val="00C91A19"/>
    <w:rsid w:val="00C92765"/>
    <w:rsid w:val="00C938B7"/>
    <w:rsid w:val="00C948C5"/>
    <w:rsid w:val="00C95233"/>
    <w:rsid w:val="00C96EF2"/>
    <w:rsid w:val="00C97446"/>
    <w:rsid w:val="00CA08C5"/>
    <w:rsid w:val="00CA18E7"/>
    <w:rsid w:val="00CA1E65"/>
    <w:rsid w:val="00CA25F7"/>
    <w:rsid w:val="00CA3388"/>
    <w:rsid w:val="00CA54CF"/>
    <w:rsid w:val="00CA5CAF"/>
    <w:rsid w:val="00CA68EA"/>
    <w:rsid w:val="00CB09E7"/>
    <w:rsid w:val="00CB0BC4"/>
    <w:rsid w:val="00CB0FE9"/>
    <w:rsid w:val="00CB34A7"/>
    <w:rsid w:val="00CB4977"/>
    <w:rsid w:val="00CB4A85"/>
    <w:rsid w:val="00CB57A9"/>
    <w:rsid w:val="00CB6F51"/>
    <w:rsid w:val="00CB7DA0"/>
    <w:rsid w:val="00CC017C"/>
    <w:rsid w:val="00CC1D2A"/>
    <w:rsid w:val="00CC3417"/>
    <w:rsid w:val="00CC3FBD"/>
    <w:rsid w:val="00CC4CE0"/>
    <w:rsid w:val="00CC5876"/>
    <w:rsid w:val="00CC5DEA"/>
    <w:rsid w:val="00CC746D"/>
    <w:rsid w:val="00CC7475"/>
    <w:rsid w:val="00CD04D9"/>
    <w:rsid w:val="00CD1150"/>
    <w:rsid w:val="00CD3B55"/>
    <w:rsid w:val="00CD42BC"/>
    <w:rsid w:val="00CD4678"/>
    <w:rsid w:val="00CD5346"/>
    <w:rsid w:val="00CD68CE"/>
    <w:rsid w:val="00CE318B"/>
    <w:rsid w:val="00CE7578"/>
    <w:rsid w:val="00CF248E"/>
    <w:rsid w:val="00CF3430"/>
    <w:rsid w:val="00CF3651"/>
    <w:rsid w:val="00CF6297"/>
    <w:rsid w:val="00CF667B"/>
    <w:rsid w:val="00CF79ED"/>
    <w:rsid w:val="00D025B2"/>
    <w:rsid w:val="00D062B8"/>
    <w:rsid w:val="00D06F2C"/>
    <w:rsid w:val="00D1043C"/>
    <w:rsid w:val="00D10B2B"/>
    <w:rsid w:val="00D111CE"/>
    <w:rsid w:val="00D12050"/>
    <w:rsid w:val="00D153CF"/>
    <w:rsid w:val="00D16CC9"/>
    <w:rsid w:val="00D17AFB"/>
    <w:rsid w:val="00D17C98"/>
    <w:rsid w:val="00D17D09"/>
    <w:rsid w:val="00D21AC4"/>
    <w:rsid w:val="00D22CF3"/>
    <w:rsid w:val="00D23732"/>
    <w:rsid w:val="00D26997"/>
    <w:rsid w:val="00D306EC"/>
    <w:rsid w:val="00D314E3"/>
    <w:rsid w:val="00D3202A"/>
    <w:rsid w:val="00D33E08"/>
    <w:rsid w:val="00D37095"/>
    <w:rsid w:val="00D37D46"/>
    <w:rsid w:val="00D40E68"/>
    <w:rsid w:val="00D449B4"/>
    <w:rsid w:val="00D44C56"/>
    <w:rsid w:val="00D458CB"/>
    <w:rsid w:val="00D4603F"/>
    <w:rsid w:val="00D46ADC"/>
    <w:rsid w:val="00D474BA"/>
    <w:rsid w:val="00D501B5"/>
    <w:rsid w:val="00D5045D"/>
    <w:rsid w:val="00D538BC"/>
    <w:rsid w:val="00D542D2"/>
    <w:rsid w:val="00D5463F"/>
    <w:rsid w:val="00D56BFB"/>
    <w:rsid w:val="00D57FF6"/>
    <w:rsid w:val="00D600D9"/>
    <w:rsid w:val="00D60B18"/>
    <w:rsid w:val="00D610DC"/>
    <w:rsid w:val="00D615B4"/>
    <w:rsid w:val="00D61955"/>
    <w:rsid w:val="00D6350D"/>
    <w:rsid w:val="00D63699"/>
    <w:rsid w:val="00D64834"/>
    <w:rsid w:val="00D655D3"/>
    <w:rsid w:val="00D66116"/>
    <w:rsid w:val="00D66EE6"/>
    <w:rsid w:val="00D675B5"/>
    <w:rsid w:val="00D67849"/>
    <w:rsid w:val="00D74E32"/>
    <w:rsid w:val="00D80292"/>
    <w:rsid w:val="00D8084C"/>
    <w:rsid w:val="00D81CA6"/>
    <w:rsid w:val="00D827D5"/>
    <w:rsid w:val="00D87B21"/>
    <w:rsid w:val="00D87B86"/>
    <w:rsid w:val="00D902D9"/>
    <w:rsid w:val="00D91CFC"/>
    <w:rsid w:val="00D92AC4"/>
    <w:rsid w:val="00D92C92"/>
    <w:rsid w:val="00D935BF"/>
    <w:rsid w:val="00D93BB2"/>
    <w:rsid w:val="00D94D6F"/>
    <w:rsid w:val="00D94D90"/>
    <w:rsid w:val="00D95864"/>
    <w:rsid w:val="00D96D16"/>
    <w:rsid w:val="00D9749D"/>
    <w:rsid w:val="00D97CD4"/>
    <w:rsid w:val="00DA0A56"/>
    <w:rsid w:val="00DA18DE"/>
    <w:rsid w:val="00DA21DB"/>
    <w:rsid w:val="00DA23E7"/>
    <w:rsid w:val="00DA2A7E"/>
    <w:rsid w:val="00DA3BC7"/>
    <w:rsid w:val="00DA4BF1"/>
    <w:rsid w:val="00DB071B"/>
    <w:rsid w:val="00DB6270"/>
    <w:rsid w:val="00DB691A"/>
    <w:rsid w:val="00DB7021"/>
    <w:rsid w:val="00DB7329"/>
    <w:rsid w:val="00DC6960"/>
    <w:rsid w:val="00DD0467"/>
    <w:rsid w:val="00DD063F"/>
    <w:rsid w:val="00DD1AAA"/>
    <w:rsid w:val="00DD33FF"/>
    <w:rsid w:val="00DD3CBF"/>
    <w:rsid w:val="00DD5F94"/>
    <w:rsid w:val="00DD6856"/>
    <w:rsid w:val="00DD6E76"/>
    <w:rsid w:val="00DE0B5A"/>
    <w:rsid w:val="00DE1667"/>
    <w:rsid w:val="00DE1ABB"/>
    <w:rsid w:val="00DE2677"/>
    <w:rsid w:val="00DE2DB5"/>
    <w:rsid w:val="00DE6631"/>
    <w:rsid w:val="00DE75BD"/>
    <w:rsid w:val="00DF094A"/>
    <w:rsid w:val="00DF1932"/>
    <w:rsid w:val="00DF1D18"/>
    <w:rsid w:val="00DF2A2A"/>
    <w:rsid w:val="00DF309B"/>
    <w:rsid w:val="00DF3BAC"/>
    <w:rsid w:val="00DF45C6"/>
    <w:rsid w:val="00DF46D9"/>
    <w:rsid w:val="00DF66D7"/>
    <w:rsid w:val="00DF7B53"/>
    <w:rsid w:val="00E00428"/>
    <w:rsid w:val="00E00F18"/>
    <w:rsid w:val="00E022DD"/>
    <w:rsid w:val="00E023DB"/>
    <w:rsid w:val="00E03C0D"/>
    <w:rsid w:val="00E03D9B"/>
    <w:rsid w:val="00E04A73"/>
    <w:rsid w:val="00E05459"/>
    <w:rsid w:val="00E05C84"/>
    <w:rsid w:val="00E071F5"/>
    <w:rsid w:val="00E07280"/>
    <w:rsid w:val="00E07811"/>
    <w:rsid w:val="00E116A4"/>
    <w:rsid w:val="00E11882"/>
    <w:rsid w:val="00E11CB3"/>
    <w:rsid w:val="00E120AA"/>
    <w:rsid w:val="00E14D48"/>
    <w:rsid w:val="00E20641"/>
    <w:rsid w:val="00E21E6B"/>
    <w:rsid w:val="00E22940"/>
    <w:rsid w:val="00E2424E"/>
    <w:rsid w:val="00E24262"/>
    <w:rsid w:val="00E25457"/>
    <w:rsid w:val="00E267AB"/>
    <w:rsid w:val="00E267B7"/>
    <w:rsid w:val="00E26A03"/>
    <w:rsid w:val="00E32322"/>
    <w:rsid w:val="00E34BE5"/>
    <w:rsid w:val="00E358E5"/>
    <w:rsid w:val="00E3603C"/>
    <w:rsid w:val="00E36A03"/>
    <w:rsid w:val="00E40EA9"/>
    <w:rsid w:val="00E4577C"/>
    <w:rsid w:val="00E45D41"/>
    <w:rsid w:val="00E46CE6"/>
    <w:rsid w:val="00E5254E"/>
    <w:rsid w:val="00E5456E"/>
    <w:rsid w:val="00E546CA"/>
    <w:rsid w:val="00E54994"/>
    <w:rsid w:val="00E54A99"/>
    <w:rsid w:val="00E55562"/>
    <w:rsid w:val="00E5633A"/>
    <w:rsid w:val="00E571EF"/>
    <w:rsid w:val="00E60684"/>
    <w:rsid w:val="00E6369A"/>
    <w:rsid w:val="00E64677"/>
    <w:rsid w:val="00E66E24"/>
    <w:rsid w:val="00E70511"/>
    <w:rsid w:val="00E727E3"/>
    <w:rsid w:val="00E72993"/>
    <w:rsid w:val="00E760A5"/>
    <w:rsid w:val="00E761C2"/>
    <w:rsid w:val="00E76317"/>
    <w:rsid w:val="00E77793"/>
    <w:rsid w:val="00E8125C"/>
    <w:rsid w:val="00E82303"/>
    <w:rsid w:val="00E8512F"/>
    <w:rsid w:val="00E85D80"/>
    <w:rsid w:val="00E85F97"/>
    <w:rsid w:val="00E860C8"/>
    <w:rsid w:val="00E87A3B"/>
    <w:rsid w:val="00E919E8"/>
    <w:rsid w:val="00E9348D"/>
    <w:rsid w:val="00E939AC"/>
    <w:rsid w:val="00E93B60"/>
    <w:rsid w:val="00E94D32"/>
    <w:rsid w:val="00E96211"/>
    <w:rsid w:val="00EA33F7"/>
    <w:rsid w:val="00EA3542"/>
    <w:rsid w:val="00EA4010"/>
    <w:rsid w:val="00EA5957"/>
    <w:rsid w:val="00EA5A03"/>
    <w:rsid w:val="00EA669B"/>
    <w:rsid w:val="00EA6B15"/>
    <w:rsid w:val="00EA6CE0"/>
    <w:rsid w:val="00EB031A"/>
    <w:rsid w:val="00EB0678"/>
    <w:rsid w:val="00EB2D71"/>
    <w:rsid w:val="00EB72A1"/>
    <w:rsid w:val="00EC0CF1"/>
    <w:rsid w:val="00EC12E3"/>
    <w:rsid w:val="00EC1E03"/>
    <w:rsid w:val="00EC4BC3"/>
    <w:rsid w:val="00EC5502"/>
    <w:rsid w:val="00EC69A9"/>
    <w:rsid w:val="00EC738D"/>
    <w:rsid w:val="00ED0EDA"/>
    <w:rsid w:val="00ED11DA"/>
    <w:rsid w:val="00ED1E66"/>
    <w:rsid w:val="00ED248B"/>
    <w:rsid w:val="00ED2754"/>
    <w:rsid w:val="00ED3066"/>
    <w:rsid w:val="00ED448D"/>
    <w:rsid w:val="00ED51FF"/>
    <w:rsid w:val="00ED59DF"/>
    <w:rsid w:val="00ED72D2"/>
    <w:rsid w:val="00ED760E"/>
    <w:rsid w:val="00EE03D6"/>
    <w:rsid w:val="00EE0916"/>
    <w:rsid w:val="00EE1815"/>
    <w:rsid w:val="00EE2083"/>
    <w:rsid w:val="00EE226A"/>
    <w:rsid w:val="00EE3C34"/>
    <w:rsid w:val="00EE616D"/>
    <w:rsid w:val="00EE7347"/>
    <w:rsid w:val="00EE77E3"/>
    <w:rsid w:val="00EF1427"/>
    <w:rsid w:val="00EF2D6E"/>
    <w:rsid w:val="00EF3839"/>
    <w:rsid w:val="00EF502E"/>
    <w:rsid w:val="00EF5424"/>
    <w:rsid w:val="00EF5943"/>
    <w:rsid w:val="00EF75BE"/>
    <w:rsid w:val="00F00E2C"/>
    <w:rsid w:val="00F0151C"/>
    <w:rsid w:val="00F015B0"/>
    <w:rsid w:val="00F0278E"/>
    <w:rsid w:val="00F02D98"/>
    <w:rsid w:val="00F02F03"/>
    <w:rsid w:val="00F030F4"/>
    <w:rsid w:val="00F055D6"/>
    <w:rsid w:val="00F05972"/>
    <w:rsid w:val="00F10087"/>
    <w:rsid w:val="00F10ED3"/>
    <w:rsid w:val="00F132F5"/>
    <w:rsid w:val="00F159B4"/>
    <w:rsid w:val="00F167AD"/>
    <w:rsid w:val="00F17087"/>
    <w:rsid w:val="00F17668"/>
    <w:rsid w:val="00F20858"/>
    <w:rsid w:val="00F22FAE"/>
    <w:rsid w:val="00F2467F"/>
    <w:rsid w:val="00F25F91"/>
    <w:rsid w:val="00F262B6"/>
    <w:rsid w:val="00F27A7C"/>
    <w:rsid w:val="00F27DE3"/>
    <w:rsid w:val="00F323C8"/>
    <w:rsid w:val="00F33611"/>
    <w:rsid w:val="00F33959"/>
    <w:rsid w:val="00F33CC1"/>
    <w:rsid w:val="00F3690B"/>
    <w:rsid w:val="00F36D61"/>
    <w:rsid w:val="00F3710A"/>
    <w:rsid w:val="00F41318"/>
    <w:rsid w:val="00F4184E"/>
    <w:rsid w:val="00F45DB1"/>
    <w:rsid w:val="00F45F03"/>
    <w:rsid w:val="00F46BA8"/>
    <w:rsid w:val="00F46F21"/>
    <w:rsid w:val="00F47E80"/>
    <w:rsid w:val="00F52946"/>
    <w:rsid w:val="00F531CF"/>
    <w:rsid w:val="00F541C6"/>
    <w:rsid w:val="00F5533E"/>
    <w:rsid w:val="00F57296"/>
    <w:rsid w:val="00F57FCC"/>
    <w:rsid w:val="00F6135D"/>
    <w:rsid w:val="00F648B9"/>
    <w:rsid w:val="00F65C3C"/>
    <w:rsid w:val="00F66F1E"/>
    <w:rsid w:val="00F67913"/>
    <w:rsid w:val="00F70BCA"/>
    <w:rsid w:val="00F71A93"/>
    <w:rsid w:val="00F721B2"/>
    <w:rsid w:val="00F72982"/>
    <w:rsid w:val="00F7359D"/>
    <w:rsid w:val="00F73F1D"/>
    <w:rsid w:val="00F75B34"/>
    <w:rsid w:val="00F75C30"/>
    <w:rsid w:val="00F762F8"/>
    <w:rsid w:val="00F763AB"/>
    <w:rsid w:val="00F7762B"/>
    <w:rsid w:val="00F8042C"/>
    <w:rsid w:val="00F80DE5"/>
    <w:rsid w:val="00F812B9"/>
    <w:rsid w:val="00F81CEF"/>
    <w:rsid w:val="00F833E8"/>
    <w:rsid w:val="00F83D32"/>
    <w:rsid w:val="00F840A0"/>
    <w:rsid w:val="00F8448E"/>
    <w:rsid w:val="00F85540"/>
    <w:rsid w:val="00F86FC6"/>
    <w:rsid w:val="00F875AC"/>
    <w:rsid w:val="00F91F0A"/>
    <w:rsid w:val="00F922AE"/>
    <w:rsid w:val="00F92B89"/>
    <w:rsid w:val="00F92F29"/>
    <w:rsid w:val="00F936CB"/>
    <w:rsid w:val="00F95783"/>
    <w:rsid w:val="00F95DFE"/>
    <w:rsid w:val="00F96F66"/>
    <w:rsid w:val="00F97103"/>
    <w:rsid w:val="00F9710A"/>
    <w:rsid w:val="00FA00EE"/>
    <w:rsid w:val="00FA0327"/>
    <w:rsid w:val="00FA29FF"/>
    <w:rsid w:val="00FA34D5"/>
    <w:rsid w:val="00FA4AE6"/>
    <w:rsid w:val="00FA564F"/>
    <w:rsid w:val="00FB19F7"/>
    <w:rsid w:val="00FB25BE"/>
    <w:rsid w:val="00FB4D2D"/>
    <w:rsid w:val="00FB715A"/>
    <w:rsid w:val="00FC02E3"/>
    <w:rsid w:val="00FC2C66"/>
    <w:rsid w:val="00FC4D42"/>
    <w:rsid w:val="00FC5F1A"/>
    <w:rsid w:val="00FD0ADA"/>
    <w:rsid w:val="00FD0B21"/>
    <w:rsid w:val="00FD0BBC"/>
    <w:rsid w:val="00FD10BC"/>
    <w:rsid w:val="00FD393A"/>
    <w:rsid w:val="00FD499A"/>
    <w:rsid w:val="00FD6E68"/>
    <w:rsid w:val="00FD7E3F"/>
    <w:rsid w:val="00FE1778"/>
    <w:rsid w:val="00FE3378"/>
    <w:rsid w:val="00FE3C25"/>
    <w:rsid w:val="00FE3C92"/>
    <w:rsid w:val="00FE3CBE"/>
    <w:rsid w:val="00FE4C33"/>
    <w:rsid w:val="00FF3399"/>
    <w:rsid w:val="00FF33D1"/>
    <w:rsid w:val="00FF45B9"/>
    <w:rsid w:val="00FF48A1"/>
    <w:rsid w:val="00FF6D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2231654-1D15-4AA3-BB32-DDE7BFBCF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33E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38117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01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1CA"/>
  </w:style>
  <w:style w:type="paragraph" w:styleId="Footer">
    <w:name w:val="footer"/>
    <w:basedOn w:val="Normal"/>
    <w:link w:val="FooterChar"/>
    <w:uiPriority w:val="99"/>
    <w:unhideWhenUsed/>
    <w:rsid w:val="009A01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1CA"/>
  </w:style>
  <w:style w:type="paragraph" w:styleId="FootnoteText">
    <w:name w:val="footnote text"/>
    <w:basedOn w:val="Normal"/>
    <w:link w:val="FootnoteTextChar"/>
    <w:uiPriority w:val="99"/>
    <w:unhideWhenUsed/>
    <w:rsid w:val="00CC7475"/>
    <w:pPr>
      <w:spacing w:after="0" w:line="240" w:lineRule="auto"/>
    </w:pPr>
    <w:rPr>
      <w:sz w:val="20"/>
      <w:szCs w:val="20"/>
    </w:rPr>
  </w:style>
  <w:style w:type="character" w:customStyle="1" w:styleId="FootnoteTextChar">
    <w:name w:val="Footnote Text Char"/>
    <w:basedOn w:val="DefaultParagraphFont"/>
    <w:link w:val="FootnoteText"/>
    <w:uiPriority w:val="99"/>
    <w:rsid w:val="00CC7475"/>
    <w:rPr>
      <w:sz w:val="20"/>
      <w:szCs w:val="20"/>
    </w:rPr>
  </w:style>
  <w:style w:type="character" w:styleId="FootnoteReference">
    <w:name w:val="footnote reference"/>
    <w:basedOn w:val="DefaultParagraphFont"/>
    <w:uiPriority w:val="99"/>
    <w:semiHidden/>
    <w:unhideWhenUsed/>
    <w:rsid w:val="00CC7475"/>
    <w:rPr>
      <w:vertAlign w:val="superscript"/>
    </w:rPr>
  </w:style>
  <w:style w:type="character" w:styleId="Hyperlink">
    <w:name w:val="Hyperlink"/>
    <w:basedOn w:val="DefaultParagraphFont"/>
    <w:uiPriority w:val="99"/>
    <w:unhideWhenUsed/>
    <w:rsid w:val="009A1222"/>
    <w:rPr>
      <w:color w:val="0563C1" w:themeColor="hyperlink"/>
      <w:u w:val="single"/>
    </w:rPr>
  </w:style>
  <w:style w:type="character" w:customStyle="1" w:styleId="UnresolvedMention">
    <w:name w:val="Unresolved Mention"/>
    <w:basedOn w:val="DefaultParagraphFont"/>
    <w:uiPriority w:val="99"/>
    <w:semiHidden/>
    <w:unhideWhenUsed/>
    <w:rsid w:val="009A1222"/>
    <w:rPr>
      <w:color w:val="808080"/>
      <w:shd w:val="clear" w:color="auto" w:fill="E6E6E6"/>
    </w:rPr>
  </w:style>
  <w:style w:type="paragraph" w:styleId="BalloonText">
    <w:name w:val="Balloon Text"/>
    <w:basedOn w:val="Normal"/>
    <w:link w:val="BalloonTextChar"/>
    <w:uiPriority w:val="99"/>
    <w:semiHidden/>
    <w:unhideWhenUsed/>
    <w:rsid w:val="003A49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49A6"/>
    <w:rPr>
      <w:rFonts w:ascii="Segoe UI" w:hAnsi="Segoe UI" w:cs="Segoe UI"/>
      <w:sz w:val="18"/>
      <w:szCs w:val="18"/>
    </w:rPr>
  </w:style>
  <w:style w:type="paragraph" w:styleId="ListParagraph">
    <w:name w:val="List Paragraph"/>
    <w:basedOn w:val="Normal"/>
    <w:uiPriority w:val="34"/>
    <w:qFormat/>
    <w:rsid w:val="00997D93"/>
    <w:pPr>
      <w:ind w:left="720"/>
      <w:contextualSpacing/>
    </w:pPr>
  </w:style>
  <w:style w:type="character" w:styleId="FollowedHyperlink">
    <w:name w:val="FollowedHyperlink"/>
    <w:basedOn w:val="DefaultParagraphFont"/>
    <w:uiPriority w:val="99"/>
    <w:semiHidden/>
    <w:unhideWhenUsed/>
    <w:rsid w:val="00DE0B5A"/>
    <w:rPr>
      <w:color w:val="954F72" w:themeColor="followedHyperlink"/>
      <w:u w:val="single"/>
    </w:rPr>
  </w:style>
  <w:style w:type="character" w:customStyle="1" w:styleId="Heading2Char">
    <w:name w:val="Heading 2 Char"/>
    <w:basedOn w:val="DefaultParagraphFont"/>
    <w:link w:val="Heading2"/>
    <w:uiPriority w:val="9"/>
    <w:semiHidden/>
    <w:rsid w:val="0038117E"/>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1709AD"/>
    <w:rPr>
      <w:sz w:val="16"/>
      <w:szCs w:val="16"/>
    </w:rPr>
  </w:style>
  <w:style w:type="paragraph" w:styleId="CommentText">
    <w:name w:val="annotation text"/>
    <w:basedOn w:val="Normal"/>
    <w:link w:val="CommentTextChar"/>
    <w:uiPriority w:val="99"/>
    <w:semiHidden/>
    <w:unhideWhenUsed/>
    <w:rsid w:val="001709AD"/>
    <w:pPr>
      <w:spacing w:line="240" w:lineRule="auto"/>
    </w:pPr>
    <w:rPr>
      <w:sz w:val="20"/>
      <w:szCs w:val="20"/>
    </w:rPr>
  </w:style>
  <w:style w:type="character" w:customStyle="1" w:styleId="CommentTextChar">
    <w:name w:val="Comment Text Char"/>
    <w:basedOn w:val="DefaultParagraphFont"/>
    <w:link w:val="CommentText"/>
    <w:uiPriority w:val="99"/>
    <w:semiHidden/>
    <w:rsid w:val="001709AD"/>
    <w:rPr>
      <w:sz w:val="20"/>
      <w:szCs w:val="20"/>
    </w:rPr>
  </w:style>
  <w:style w:type="paragraph" w:styleId="CommentSubject">
    <w:name w:val="annotation subject"/>
    <w:basedOn w:val="CommentText"/>
    <w:next w:val="CommentText"/>
    <w:link w:val="CommentSubjectChar"/>
    <w:uiPriority w:val="99"/>
    <w:semiHidden/>
    <w:unhideWhenUsed/>
    <w:rsid w:val="001709AD"/>
    <w:rPr>
      <w:b/>
      <w:bCs/>
    </w:rPr>
  </w:style>
  <w:style w:type="character" w:customStyle="1" w:styleId="CommentSubjectChar">
    <w:name w:val="Comment Subject Char"/>
    <w:basedOn w:val="CommentTextChar"/>
    <w:link w:val="CommentSubject"/>
    <w:uiPriority w:val="99"/>
    <w:semiHidden/>
    <w:rsid w:val="001709AD"/>
    <w:rPr>
      <w:b/>
      <w:bCs/>
      <w:sz w:val="20"/>
      <w:szCs w:val="20"/>
    </w:rPr>
  </w:style>
  <w:style w:type="paragraph" w:styleId="NormalWeb">
    <w:name w:val="Normal (Web)"/>
    <w:basedOn w:val="Normal"/>
    <w:uiPriority w:val="99"/>
    <w:semiHidden/>
    <w:unhideWhenUsed/>
    <w:rsid w:val="00D21AC4"/>
    <w:rPr>
      <w:rFonts w:cs="Times New Roman"/>
      <w:szCs w:val="24"/>
    </w:rPr>
  </w:style>
  <w:style w:type="character" w:customStyle="1" w:styleId="Heading1Char">
    <w:name w:val="Heading 1 Char"/>
    <w:basedOn w:val="DefaultParagraphFont"/>
    <w:link w:val="Heading1"/>
    <w:uiPriority w:val="9"/>
    <w:rsid w:val="00433E9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33E9D"/>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01743">
      <w:bodyDiv w:val="1"/>
      <w:marLeft w:val="0"/>
      <w:marRight w:val="0"/>
      <w:marTop w:val="0"/>
      <w:marBottom w:val="0"/>
      <w:divBdr>
        <w:top w:val="none" w:sz="0" w:space="0" w:color="auto"/>
        <w:left w:val="none" w:sz="0" w:space="0" w:color="auto"/>
        <w:bottom w:val="none" w:sz="0" w:space="0" w:color="auto"/>
        <w:right w:val="none" w:sz="0" w:space="0" w:color="auto"/>
      </w:divBdr>
      <w:divsChild>
        <w:div w:id="767119573">
          <w:marLeft w:val="0"/>
          <w:marRight w:val="0"/>
          <w:marTop w:val="0"/>
          <w:marBottom w:val="240"/>
          <w:divBdr>
            <w:top w:val="none" w:sz="0" w:space="0" w:color="auto"/>
            <w:left w:val="none" w:sz="0" w:space="0" w:color="auto"/>
            <w:bottom w:val="none" w:sz="0" w:space="0" w:color="auto"/>
            <w:right w:val="none" w:sz="0" w:space="0" w:color="auto"/>
          </w:divBdr>
          <w:divsChild>
            <w:div w:id="1696733587">
              <w:marLeft w:val="0"/>
              <w:marRight w:val="0"/>
              <w:marTop w:val="0"/>
              <w:marBottom w:val="240"/>
              <w:divBdr>
                <w:top w:val="none" w:sz="0" w:space="0" w:color="auto"/>
                <w:left w:val="none" w:sz="0" w:space="0" w:color="auto"/>
                <w:bottom w:val="none" w:sz="0" w:space="0" w:color="auto"/>
                <w:right w:val="none" w:sz="0" w:space="0" w:color="auto"/>
              </w:divBdr>
              <w:divsChild>
                <w:div w:id="998923569">
                  <w:marLeft w:val="0"/>
                  <w:marRight w:val="0"/>
                  <w:marTop w:val="0"/>
                  <w:marBottom w:val="240"/>
                  <w:divBdr>
                    <w:top w:val="none" w:sz="0" w:space="0" w:color="auto"/>
                    <w:left w:val="none" w:sz="0" w:space="0" w:color="auto"/>
                    <w:bottom w:val="none" w:sz="0" w:space="0" w:color="auto"/>
                    <w:right w:val="none" w:sz="0" w:space="0" w:color="auto"/>
                  </w:divBdr>
                </w:div>
                <w:div w:id="115140526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68591243">
      <w:bodyDiv w:val="1"/>
      <w:marLeft w:val="0"/>
      <w:marRight w:val="0"/>
      <w:marTop w:val="0"/>
      <w:marBottom w:val="0"/>
      <w:divBdr>
        <w:top w:val="none" w:sz="0" w:space="0" w:color="auto"/>
        <w:left w:val="none" w:sz="0" w:space="0" w:color="auto"/>
        <w:bottom w:val="none" w:sz="0" w:space="0" w:color="auto"/>
        <w:right w:val="none" w:sz="0" w:space="0" w:color="auto"/>
      </w:divBdr>
      <w:divsChild>
        <w:div w:id="713887772">
          <w:marLeft w:val="0"/>
          <w:marRight w:val="0"/>
          <w:marTop w:val="0"/>
          <w:marBottom w:val="240"/>
          <w:divBdr>
            <w:top w:val="none" w:sz="0" w:space="0" w:color="auto"/>
            <w:left w:val="none" w:sz="0" w:space="0" w:color="auto"/>
            <w:bottom w:val="none" w:sz="0" w:space="0" w:color="auto"/>
            <w:right w:val="none" w:sz="0" w:space="0" w:color="auto"/>
          </w:divBdr>
          <w:divsChild>
            <w:div w:id="32928674">
              <w:marLeft w:val="0"/>
              <w:marRight w:val="0"/>
              <w:marTop w:val="0"/>
              <w:marBottom w:val="240"/>
              <w:divBdr>
                <w:top w:val="none" w:sz="0" w:space="0" w:color="auto"/>
                <w:left w:val="none" w:sz="0" w:space="0" w:color="auto"/>
                <w:bottom w:val="none" w:sz="0" w:space="0" w:color="auto"/>
                <w:right w:val="none" w:sz="0" w:space="0" w:color="auto"/>
              </w:divBdr>
              <w:divsChild>
                <w:div w:id="309604089">
                  <w:marLeft w:val="0"/>
                  <w:marRight w:val="0"/>
                  <w:marTop w:val="0"/>
                  <w:marBottom w:val="240"/>
                  <w:divBdr>
                    <w:top w:val="none" w:sz="0" w:space="0" w:color="auto"/>
                    <w:left w:val="none" w:sz="0" w:space="0" w:color="auto"/>
                    <w:bottom w:val="none" w:sz="0" w:space="0" w:color="auto"/>
                    <w:right w:val="none" w:sz="0" w:space="0" w:color="auto"/>
                  </w:divBdr>
                </w:div>
                <w:div w:id="66004267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381951704">
      <w:bodyDiv w:val="1"/>
      <w:marLeft w:val="0"/>
      <w:marRight w:val="0"/>
      <w:marTop w:val="0"/>
      <w:marBottom w:val="0"/>
      <w:divBdr>
        <w:top w:val="none" w:sz="0" w:space="0" w:color="auto"/>
        <w:left w:val="none" w:sz="0" w:space="0" w:color="auto"/>
        <w:bottom w:val="none" w:sz="0" w:space="0" w:color="auto"/>
        <w:right w:val="none" w:sz="0" w:space="0" w:color="auto"/>
      </w:divBdr>
      <w:divsChild>
        <w:div w:id="1982613690">
          <w:marLeft w:val="0"/>
          <w:marRight w:val="0"/>
          <w:marTop w:val="0"/>
          <w:marBottom w:val="0"/>
          <w:divBdr>
            <w:top w:val="none" w:sz="0" w:space="0" w:color="auto"/>
            <w:left w:val="none" w:sz="0" w:space="0" w:color="auto"/>
            <w:bottom w:val="none" w:sz="0" w:space="0" w:color="auto"/>
            <w:right w:val="none" w:sz="0" w:space="0" w:color="auto"/>
          </w:divBdr>
        </w:div>
      </w:divsChild>
    </w:div>
    <w:div w:id="594435197">
      <w:bodyDiv w:val="1"/>
      <w:marLeft w:val="0"/>
      <w:marRight w:val="0"/>
      <w:marTop w:val="0"/>
      <w:marBottom w:val="0"/>
      <w:divBdr>
        <w:top w:val="none" w:sz="0" w:space="0" w:color="auto"/>
        <w:left w:val="none" w:sz="0" w:space="0" w:color="auto"/>
        <w:bottom w:val="none" w:sz="0" w:space="0" w:color="auto"/>
        <w:right w:val="none" w:sz="0" w:space="0" w:color="auto"/>
      </w:divBdr>
    </w:div>
    <w:div w:id="613710021">
      <w:bodyDiv w:val="1"/>
      <w:marLeft w:val="0"/>
      <w:marRight w:val="0"/>
      <w:marTop w:val="0"/>
      <w:marBottom w:val="0"/>
      <w:divBdr>
        <w:top w:val="none" w:sz="0" w:space="0" w:color="auto"/>
        <w:left w:val="none" w:sz="0" w:space="0" w:color="auto"/>
        <w:bottom w:val="none" w:sz="0" w:space="0" w:color="auto"/>
        <w:right w:val="none" w:sz="0" w:space="0" w:color="auto"/>
      </w:divBdr>
      <w:divsChild>
        <w:div w:id="1930656237">
          <w:marLeft w:val="0"/>
          <w:marRight w:val="0"/>
          <w:marTop w:val="0"/>
          <w:marBottom w:val="0"/>
          <w:divBdr>
            <w:top w:val="none" w:sz="0" w:space="0" w:color="auto"/>
            <w:left w:val="none" w:sz="0" w:space="0" w:color="auto"/>
            <w:bottom w:val="none" w:sz="0" w:space="0" w:color="auto"/>
            <w:right w:val="none" w:sz="0" w:space="0" w:color="auto"/>
          </w:divBdr>
        </w:div>
      </w:divsChild>
    </w:div>
    <w:div w:id="717558387">
      <w:bodyDiv w:val="1"/>
      <w:marLeft w:val="0"/>
      <w:marRight w:val="0"/>
      <w:marTop w:val="0"/>
      <w:marBottom w:val="0"/>
      <w:divBdr>
        <w:top w:val="none" w:sz="0" w:space="0" w:color="auto"/>
        <w:left w:val="none" w:sz="0" w:space="0" w:color="auto"/>
        <w:bottom w:val="none" w:sz="0" w:space="0" w:color="auto"/>
        <w:right w:val="none" w:sz="0" w:space="0" w:color="auto"/>
      </w:divBdr>
    </w:div>
    <w:div w:id="787547056">
      <w:bodyDiv w:val="1"/>
      <w:marLeft w:val="0"/>
      <w:marRight w:val="0"/>
      <w:marTop w:val="0"/>
      <w:marBottom w:val="0"/>
      <w:divBdr>
        <w:top w:val="none" w:sz="0" w:space="0" w:color="auto"/>
        <w:left w:val="none" w:sz="0" w:space="0" w:color="auto"/>
        <w:bottom w:val="none" w:sz="0" w:space="0" w:color="auto"/>
        <w:right w:val="none" w:sz="0" w:space="0" w:color="auto"/>
      </w:divBdr>
    </w:div>
    <w:div w:id="939335316">
      <w:bodyDiv w:val="1"/>
      <w:marLeft w:val="0"/>
      <w:marRight w:val="0"/>
      <w:marTop w:val="0"/>
      <w:marBottom w:val="0"/>
      <w:divBdr>
        <w:top w:val="none" w:sz="0" w:space="0" w:color="auto"/>
        <w:left w:val="none" w:sz="0" w:space="0" w:color="auto"/>
        <w:bottom w:val="none" w:sz="0" w:space="0" w:color="auto"/>
        <w:right w:val="none" w:sz="0" w:space="0" w:color="auto"/>
      </w:divBdr>
      <w:divsChild>
        <w:div w:id="1380740996">
          <w:marLeft w:val="0"/>
          <w:marRight w:val="0"/>
          <w:marTop w:val="0"/>
          <w:marBottom w:val="0"/>
          <w:divBdr>
            <w:top w:val="none" w:sz="0" w:space="0" w:color="auto"/>
            <w:left w:val="none" w:sz="0" w:space="0" w:color="auto"/>
            <w:bottom w:val="none" w:sz="0" w:space="0" w:color="auto"/>
            <w:right w:val="none" w:sz="0" w:space="0" w:color="auto"/>
          </w:divBdr>
        </w:div>
      </w:divsChild>
    </w:div>
    <w:div w:id="1211918653">
      <w:bodyDiv w:val="1"/>
      <w:marLeft w:val="0"/>
      <w:marRight w:val="0"/>
      <w:marTop w:val="0"/>
      <w:marBottom w:val="0"/>
      <w:divBdr>
        <w:top w:val="none" w:sz="0" w:space="0" w:color="auto"/>
        <w:left w:val="none" w:sz="0" w:space="0" w:color="auto"/>
        <w:bottom w:val="none" w:sz="0" w:space="0" w:color="auto"/>
        <w:right w:val="none" w:sz="0" w:space="0" w:color="auto"/>
      </w:divBdr>
      <w:divsChild>
        <w:div w:id="770391303">
          <w:marLeft w:val="0"/>
          <w:marRight w:val="0"/>
          <w:marTop w:val="0"/>
          <w:marBottom w:val="0"/>
          <w:divBdr>
            <w:top w:val="none" w:sz="0" w:space="0" w:color="auto"/>
            <w:left w:val="none" w:sz="0" w:space="0" w:color="auto"/>
            <w:bottom w:val="none" w:sz="0" w:space="0" w:color="auto"/>
            <w:right w:val="none" w:sz="0" w:space="0" w:color="auto"/>
          </w:divBdr>
        </w:div>
      </w:divsChild>
    </w:div>
    <w:div w:id="1608393980">
      <w:bodyDiv w:val="1"/>
      <w:marLeft w:val="0"/>
      <w:marRight w:val="0"/>
      <w:marTop w:val="0"/>
      <w:marBottom w:val="0"/>
      <w:divBdr>
        <w:top w:val="none" w:sz="0" w:space="0" w:color="auto"/>
        <w:left w:val="none" w:sz="0" w:space="0" w:color="auto"/>
        <w:bottom w:val="none" w:sz="0" w:space="0" w:color="auto"/>
        <w:right w:val="none" w:sz="0" w:space="0" w:color="auto"/>
      </w:divBdr>
    </w:div>
    <w:div w:id="1773547395">
      <w:bodyDiv w:val="1"/>
      <w:marLeft w:val="0"/>
      <w:marRight w:val="0"/>
      <w:marTop w:val="0"/>
      <w:marBottom w:val="0"/>
      <w:divBdr>
        <w:top w:val="none" w:sz="0" w:space="0" w:color="auto"/>
        <w:left w:val="none" w:sz="0" w:space="0" w:color="auto"/>
        <w:bottom w:val="none" w:sz="0" w:space="0" w:color="auto"/>
        <w:right w:val="none" w:sz="0" w:space="0" w:color="auto"/>
      </w:divBdr>
    </w:div>
    <w:div w:id="1808744773">
      <w:bodyDiv w:val="1"/>
      <w:marLeft w:val="0"/>
      <w:marRight w:val="0"/>
      <w:marTop w:val="0"/>
      <w:marBottom w:val="0"/>
      <w:divBdr>
        <w:top w:val="none" w:sz="0" w:space="0" w:color="auto"/>
        <w:left w:val="none" w:sz="0" w:space="0" w:color="auto"/>
        <w:bottom w:val="none" w:sz="0" w:space="0" w:color="auto"/>
        <w:right w:val="none" w:sz="0" w:space="0" w:color="auto"/>
      </w:divBdr>
      <w:divsChild>
        <w:div w:id="2124959058">
          <w:marLeft w:val="0"/>
          <w:marRight w:val="0"/>
          <w:marTop w:val="0"/>
          <w:marBottom w:val="0"/>
          <w:divBdr>
            <w:top w:val="none" w:sz="0" w:space="0" w:color="auto"/>
            <w:left w:val="none" w:sz="0" w:space="0" w:color="auto"/>
            <w:bottom w:val="none" w:sz="0" w:space="0" w:color="auto"/>
            <w:right w:val="none" w:sz="0" w:space="0" w:color="auto"/>
          </w:divBdr>
        </w:div>
      </w:divsChild>
    </w:div>
    <w:div w:id="1838350673">
      <w:bodyDiv w:val="1"/>
      <w:marLeft w:val="0"/>
      <w:marRight w:val="0"/>
      <w:marTop w:val="0"/>
      <w:marBottom w:val="0"/>
      <w:divBdr>
        <w:top w:val="none" w:sz="0" w:space="0" w:color="auto"/>
        <w:left w:val="none" w:sz="0" w:space="0" w:color="auto"/>
        <w:bottom w:val="none" w:sz="0" w:space="0" w:color="auto"/>
        <w:right w:val="none" w:sz="0" w:space="0" w:color="auto"/>
      </w:divBdr>
      <w:divsChild>
        <w:div w:id="67390312">
          <w:marLeft w:val="0"/>
          <w:marRight w:val="0"/>
          <w:marTop w:val="0"/>
          <w:marBottom w:val="240"/>
          <w:divBdr>
            <w:top w:val="none" w:sz="0" w:space="0" w:color="auto"/>
            <w:left w:val="none" w:sz="0" w:space="0" w:color="auto"/>
            <w:bottom w:val="none" w:sz="0" w:space="0" w:color="auto"/>
            <w:right w:val="none" w:sz="0" w:space="0" w:color="auto"/>
          </w:divBdr>
          <w:divsChild>
            <w:div w:id="1812020982">
              <w:marLeft w:val="0"/>
              <w:marRight w:val="0"/>
              <w:marTop w:val="0"/>
              <w:marBottom w:val="240"/>
              <w:divBdr>
                <w:top w:val="none" w:sz="0" w:space="0" w:color="auto"/>
                <w:left w:val="none" w:sz="0" w:space="0" w:color="auto"/>
                <w:bottom w:val="none" w:sz="0" w:space="0" w:color="auto"/>
                <w:right w:val="none" w:sz="0" w:space="0" w:color="auto"/>
              </w:divBdr>
              <w:divsChild>
                <w:div w:id="1771049947">
                  <w:marLeft w:val="0"/>
                  <w:marRight w:val="0"/>
                  <w:marTop w:val="0"/>
                  <w:marBottom w:val="240"/>
                  <w:divBdr>
                    <w:top w:val="none" w:sz="0" w:space="0" w:color="auto"/>
                    <w:left w:val="none" w:sz="0" w:space="0" w:color="auto"/>
                    <w:bottom w:val="none" w:sz="0" w:space="0" w:color="auto"/>
                    <w:right w:val="none" w:sz="0" w:space="0" w:color="auto"/>
                  </w:divBdr>
                </w:div>
                <w:div w:id="149206363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2016304562">
      <w:bodyDiv w:val="1"/>
      <w:marLeft w:val="0"/>
      <w:marRight w:val="0"/>
      <w:marTop w:val="0"/>
      <w:marBottom w:val="0"/>
      <w:divBdr>
        <w:top w:val="none" w:sz="0" w:space="0" w:color="auto"/>
        <w:left w:val="none" w:sz="0" w:space="0" w:color="auto"/>
        <w:bottom w:val="none" w:sz="0" w:space="0" w:color="auto"/>
        <w:right w:val="none" w:sz="0" w:space="0" w:color="auto"/>
      </w:divBdr>
    </w:div>
    <w:div w:id="2047564049">
      <w:bodyDiv w:val="1"/>
      <w:marLeft w:val="0"/>
      <w:marRight w:val="0"/>
      <w:marTop w:val="0"/>
      <w:marBottom w:val="0"/>
      <w:divBdr>
        <w:top w:val="none" w:sz="0" w:space="0" w:color="auto"/>
        <w:left w:val="none" w:sz="0" w:space="0" w:color="auto"/>
        <w:bottom w:val="none" w:sz="0" w:space="0" w:color="auto"/>
        <w:right w:val="none" w:sz="0" w:space="0" w:color="auto"/>
      </w:divBdr>
      <w:divsChild>
        <w:div w:id="50543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stor.org/stable/1859659" TargetMode="External"/><Relationship Id="rId18" Type="http://schemas.openxmlformats.org/officeDocument/2006/relationships/hyperlink" Target="http://www.jstor.org/stable/10.3366/j.ctt1g0b03m.8" TargetMode="External"/><Relationship Id="rId26" Type="http://schemas.openxmlformats.org/officeDocument/2006/relationships/hyperlink" Target="http://www.jstor.org/stable/25023084" TargetMode="External"/><Relationship Id="rId3" Type="http://schemas.openxmlformats.org/officeDocument/2006/relationships/styles" Target="styles.xml"/><Relationship Id="rId21" Type="http://schemas.openxmlformats.org/officeDocument/2006/relationships/hyperlink" Target="http://avalon.law.yale.edu/subject_menus/fed.asp"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stor.org/stable/24401672" TargetMode="External"/><Relationship Id="rId17" Type="http://schemas.openxmlformats.org/officeDocument/2006/relationships/hyperlink" Target="http://www.jstor.org/stable/20092231" TargetMode="External"/><Relationship Id="rId25" Type="http://schemas.openxmlformats.org/officeDocument/2006/relationships/hyperlink" Target="http://www.jstor.org/stable/3160372" TargetMode="External"/><Relationship Id="rId33" Type="http://schemas.openxmlformats.org/officeDocument/2006/relationships/hyperlink" Target="http://oll.libertyfund.org/titles/madison-the-writings-vol-2-1783-1787" TargetMode="External"/><Relationship Id="rId2" Type="http://schemas.openxmlformats.org/officeDocument/2006/relationships/numbering" Target="numbering.xml"/><Relationship Id="rId16" Type="http://schemas.openxmlformats.org/officeDocument/2006/relationships/hyperlink" Target="http://www.jstor.org/stable/1921903" TargetMode="External"/><Relationship Id="rId20" Type="http://schemas.openxmlformats.org/officeDocument/2006/relationships/hyperlink" Target="http://www.jstor.org/stable/30066639" TargetMode="External"/><Relationship Id="rId29" Type="http://schemas.openxmlformats.org/officeDocument/2006/relationships/hyperlink" Target="http://oll.libertyfund.org/titles/madison-the-writings-vol-2-1783-17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jstor.org/stable/42754272" TargetMode="External"/><Relationship Id="rId32" Type="http://schemas.openxmlformats.org/officeDocument/2006/relationships/hyperlink" Target="http://oll.libertyfund.org/titles/madison-the-writings-vol-2-1783-1787" TargetMode="External"/><Relationship Id="rId5" Type="http://schemas.openxmlformats.org/officeDocument/2006/relationships/webSettings" Target="webSettings.xml"/><Relationship Id="rId15" Type="http://schemas.openxmlformats.org/officeDocument/2006/relationships/hyperlink" Target="http://www.jstor.org/stable/j.ctt1nq95m.15" TargetMode="External"/><Relationship Id="rId23" Type="http://schemas.openxmlformats.org/officeDocument/2006/relationships/hyperlink" Target="https://link.springer.com/chapter/10.1007/978-1-137-41262-1_4" TargetMode="External"/><Relationship Id="rId28" Type="http://schemas.openxmlformats.org/officeDocument/2006/relationships/hyperlink" Target="http://www.jstor.org/stable/20108541" TargetMode="External"/><Relationship Id="rId10" Type="http://schemas.openxmlformats.org/officeDocument/2006/relationships/header" Target="header1.xml"/><Relationship Id="rId19" Type="http://schemas.openxmlformats.org/officeDocument/2006/relationships/hyperlink" Target="http://www.jstor.org/stable/j.ctt1cgf0g9.7" TargetMode="External"/><Relationship Id="rId31" Type="http://schemas.openxmlformats.org/officeDocument/2006/relationships/hyperlink" Target="http://oll.libertyfund.org/titles/madison-the-writings-vol-2-1783-1787"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jstor.org/stable/25470006" TargetMode="External"/><Relationship Id="rId22" Type="http://schemas.openxmlformats.org/officeDocument/2006/relationships/hyperlink" Target="https://books.google.com" TargetMode="External"/><Relationship Id="rId27" Type="http://schemas.openxmlformats.org/officeDocument/2006/relationships/hyperlink" Target="http://www.jstor.org/stable/10.3998/mpub.8287082.14" TargetMode="External"/><Relationship Id="rId30" Type="http://schemas.openxmlformats.org/officeDocument/2006/relationships/hyperlink" Target="http://oll.libertyfund.org/titles/madison-the-writings-vol-2-1783-1787" TargetMode="External"/><Relationship Id="rId35" Type="http://schemas.openxmlformats.org/officeDocument/2006/relationships/theme" Target="theme/theme1.xml"/><Relationship Id="rId8"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jstor.org/stable/10.5149/9781469616742_ely.22" TargetMode="External"/><Relationship Id="rId13" Type="http://schemas.openxmlformats.org/officeDocument/2006/relationships/hyperlink" Target="http://www.jstor.org/stable/23917624" TargetMode="External"/><Relationship Id="rId3" Type="http://schemas.openxmlformats.org/officeDocument/2006/relationships/hyperlink" Target="https://link.springer.com/chapter/10.1007/978-1-137-41262-1_4" TargetMode="External"/><Relationship Id="rId7" Type="http://schemas.openxmlformats.org/officeDocument/2006/relationships/hyperlink" Target="https://books.google.com" TargetMode="External"/><Relationship Id="rId12" Type="http://schemas.openxmlformats.org/officeDocument/2006/relationships/hyperlink" Target="http://www.jstor.org/stable/10.5149/9781469616742_ely.22" TargetMode="External"/><Relationship Id="rId2" Type="http://schemas.openxmlformats.org/officeDocument/2006/relationships/hyperlink" Target="https://www.merriam-webster.com/dictionary/textualism" TargetMode="External"/><Relationship Id="rId1" Type="http://schemas.openxmlformats.org/officeDocument/2006/relationships/hyperlink" Target="https://en.oxforddictionaries.com/definition" TargetMode="External"/><Relationship Id="rId6" Type="http://schemas.openxmlformats.org/officeDocument/2006/relationships/hyperlink" Target="http://www.jstor.org/stable/25023084" TargetMode="External"/><Relationship Id="rId11" Type="http://schemas.openxmlformats.org/officeDocument/2006/relationships/hyperlink" Target="https://link.springer.com/chapter/10.1007/978-1-137-41262-1_4" TargetMode="External"/><Relationship Id="rId5" Type="http://schemas.openxmlformats.org/officeDocument/2006/relationships/hyperlink" Target="http://www.jstor.org/stable/1921903" TargetMode="External"/><Relationship Id="rId15" Type="http://schemas.openxmlformats.org/officeDocument/2006/relationships/hyperlink" Target="https://www.jstor.org/stable/25470006" TargetMode="External"/><Relationship Id="rId10" Type="http://schemas.openxmlformats.org/officeDocument/2006/relationships/hyperlink" Target="https://www.jstor.org/stable/25470006" TargetMode="External"/><Relationship Id="rId4" Type="http://schemas.openxmlformats.org/officeDocument/2006/relationships/hyperlink" Target="http://www.jstor.org/stable/20092231" TargetMode="External"/><Relationship Id="rId9" Type="http://schemas.openxmlformats.org/officeDocument/2006/relationships/hyperlink" Target="https://www.jstor.org/stable/25470006" TargetMode="External"/><Relationship Id="rId14" Type="http://schemas.openxmlformats.org/officeDocument/2006/relationships/hyperlink" Target="http://www.jstor.org/stable/239176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7EDD1E2-1686-4343-B285-19EA4CF83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28721</Words>
  <Characters>163716</Characters>
  <Application>Microsoft Office Word</Application>
  <DocSecurity>0</DocSecurity>
  <Lines>1364</Lines>
  <Paragraphs>384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Morton</dc:creator>
  <cp:keywords/>
  <dc:description/>
  <cp:lastModifiedBy>Karen Demonbreum</cp:lastModifiedBy>
  <cp:revision>2</cp:revision>
  <cp:lastPrinted>2018-10-22T18:41:00Z</cp:lastPrinted>
  <dcterms:created xsi:type="dcterms:W3CDTF">2018-12-19T21:02:00Z</dcterms:created>
  <dcterms:modified xsi:type="dcterms:W3CDTF">2018-12-19T21:02:00Z</dcterms:modified>
</cp:coreProperties>
</file>