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802" w:rsidRDefault="00C77802" w:rsidP="008F6FCD">
      <w:pPr>
        <w:spacing w:line="480" w:lineRule="auto"/>
        <w:contextualSpacing/>
        <w:rPr>
          <w:sz w:val="24"/>
          <w:szCs w:val="24"/>
        </w:rPr>
      </w:pPr>
    </w:p>
    <w:p w:rsidR="00C77802" w:rsidRDefault="00C77802" w:rsidP="00C77802">
      <w:pPr>
        <w:spacing w:line="480" w:lineRule="auto"/>
        <w:contextualSpacing/>
        <w:jc w:val="center"/>
        <w:rPr>
          <w:sz w:val="24"/>
          <w:szCs w:val="24"/>
        </w:rPr>
      </w:pPr>
    </w:p>
    <w:p w:rsidR="00C77802" w:rsidRPr="001129AC" w:rsidRDefault="00C77802" w:rsidP="00C77802">
      <w:pPr>
        <w:spacing w:line="480" w:lineRule="auto"/>
        <w:contextualSpacing/>
        <w:jc w:val="center"/>
        <w:rPr>
          <w:sz w:val="24"/>
          <w:szCs w:val="24"/>
        </w:rPr>
      </w:pPr>
      <w:r>
        <w:rPr>
          <w:sz w:val="24"/>
          <w:szCs w:val="24"/>
        </w:rPr>
        <w:t>“</w:t>
      </w:r>
      <w:r w:rsidR="008F6FCD">
        <w:rPr>
          <w:sz w:val="24"/>
          <w:szCs w:val="24"/>
        </w:rPr>
        <w:t xml:space="preserve">The </w:t>
      </w:r>
      <w:r>
        <w:rPr>
          <w:sz w:val="24"/>
          <w:szCs w:val="24"/>
        </w:rPr>
        <w:t>Athens of the South”: How the Athenian Parthenon Reinforces and Shapes the Cultural Identity of Nashville, Tennessee</w:t>
      </w:r>
    </w:p>
    <w:p w:rsidR="00C77802" w:rsidRPr="001129AC" w:rsidRDefault="00C77802" w:rsidP="00C77802">
      <w:pPr>
        <w:spacing w:line="480" w:lineRule="auto"/>
        <w:contextualSpacing/>
        <w:jc w:val="center"/>
        <w:rPr>
          <w:sz w:val="24"/>
          <w:szCs w:val="24"/>
        </w:rPr>
      </w:pPr>
    </w:p>
    <w:p w:rsidR="00C77802" w:rsidRDefault="00C77802" w:rsidP="00C77802">
      <w:pPr>
        <w:spacing w:line="480" w:lineRule="auto"/>
        <w:contextualSpacing/>
        <w:jc w:val="center"/>
        <w:rPr>
          <w:sz w:val="24"/>
          <w:szCs w:val="24"/>
        </w:rPr>
      </w:pPr>
    </w:p>
    <w:p w:rsidR="008F6FCD" w:rsidRPr="001129AC" w:rsidRDefault="008F6FCD" w:rsidP="008F6FCD">
      <w:pPr>
        <w:spacing w:line="480" w:lineRule="auto"/>
        <w:contextualSpacing/>
        <w:rPr>
          <w:sz w:val="24"/>
          <w:szCs w:val="24"/>
        </w:rPr>
      </w:pPr>
      <w:bookmarkStart w:id="0" w:name="_GoBack"/>
      <w:bookmarkEnd w:id="0"/>
    </w:p>
    <w:p w:rsidR="00C77802" w:rsidRPr="001129AC" w:rsidRDefault="00C77802" w:rsidP="00C77802">
      <w:pPr>
        <w:spacing w:line="480" w:lineRule="auto"/>
        <w:contextualSpacing/>
        <w:rPr>
          <w:sz w:val="24"/>
          <w:szCs w:val="24"/>
        </w:rPr>
      </w:pPr>
    </w:p>
    <w:p w:rsidR="00C77802" w:rsidRDefault="00C77802" w:rsidP="00C77802">
      <w:pPr>
        <w:spacing w:line="480" w:lineRule="auto"/>
        <w:contextualSpacing/>
        <w:rPr>
          <w:sz w:val="24"/>
          <w:szCs w:val="24"/>
        </w:rPr>
      </w:pPr>
    </w:p>
    <w:p w:rsidR="009C3939" w:rsidRPr="001129AC" w:rsidRDefault="009C3939" w:rsidP="00C77802">
      <w:pPr>
        <w:spacing w:line="480" w:lineRule="auto"/>
        <w:contextualSpacing/>
        <w:rPr>
          <w:sz w:val="24"/>
          <w:szCs w:val="24"/>
        </w:rPr>
      </w:pPr>
    </w:p>
    <w:p w:rsidR="00C77802" w:rsidRPr="001129AC" w:rsidRDefault="008F6FCD" w:rsidP="008F6FCD">
      <w:pPr>
        <w:spacing w:line="240" w:lineRule="auto"/>
        <w:contextualSpacing/>
        <w:jc w:val="center"/>
        <w:rPr>
          <w:sz w:val="24"/>
          <w:szCs w:val="24"/>
        </w:rPr>
      </w:pPr>
      <w:r>
        <w:rPr>
          <w:sz w:val="24"/>
          <w:szCs w:val="24"/>
        </w:rPr>
        <w:t>By</w:t>
      </w:r>
    </w:p>
    <w:p w:rsidR="00C77802" w:rsidRPr="001129AC" w:rsidRDefault="00C77802" w:rsidP="008F6FCD">
      <w:pPr>
        <w:spacing w:line="240" w:lineRule="auto"/>
        <w:contextualSpacing/>
        <w:jc w:val="center"/>
        <w:rPr>
          <w:sz w:val="24"/>
          <w:szCs w:val="24"/>
        </w:rPr>
      </w:pPr>
      <w:r w:rsidRPr="001129AC">
        <w:rPr>
          <w:sz w:val="24"/>
          <w:szCs w:val="24"/>
        </w:rPr>
        <w:t xml:space="preserve">Luke Howard Judkins </w:t>
      </w:r>
    </w:p>
    <w:p w:rsidR="00C77802" w:rsidRPr="001129AC" w:rsidRDefault="00C77802" w:rsidP="00C77802">
      <w:pPr>
        <w:spacing w:line="480" w:lineRule="auto"/>
        <w:contextualSpacing/>
        <w:jc w:val="center"/>
        <w:rPr>
          <w:sz w:val="24"/>
          <w:szCs w:val="24"/>
        </w:rPr>
      </w:pPr>
    </w:p>
    <w:p w:rsidR="00C77802" w:rsidRDefault="00C77802" w:rsidP="00C77802">
      <w:pPr>
        <w:spacing w:line="480" w:lineRule="auto"/>
        <w:contextualSpacing/>
        <w:rPr>
          <w:sz w:val="24"/>
          <w:szCs w:val="24"/>
        </w:rPr>
      </w:pPr>
    </w:p>
    <w:p w:rsidR="00C77802" w:rsidRDefault="00C77802" w:rsidP="00C77802">
      <w:pPr>
        <w:spacing w:line="480" w:lineRule="auto"/>
        <w:contextualSpacing/>
        <w:jc w:val="center"/>
        <w:rPr>
          <w:sz w:val="24"/>
          <w:szCs w:val="24"/>
        </w:rPr>
      </w:pPr>
    </w:p>
    <w:p w:rsidR="00C77802" w:rsidRPr="001129AC" w:rsidRDefault="00C77802" w:rsidP="00C77802">
      <w:pPr>
        <w:spacing w:line="480" w:lineRule="auto"/>
        <w:contextualSpacing/>
        <w:jc w:val="center"/>
        <w:rPr>
          <w:sz w:val="24"/>
          <w:szCs w:val="24"/>
        </w:rPr>
      </w:pPr>
    </w:p>
    <w:p w:rsidR="00C77802" w:rsidRDefault="00C77802" w:rsidP="00C77802">
      <w:pPr>
        <w:spacing w:line="480" w:lineRule="auto"/>
        <w:contextualSpacing/>
        <w:jc w:val="center"/>
        <w:rPr>
          <w:sz w:val="24"/>
          <w:szCs w:val="24"/>
        </w:rPr>
      </w:pPr>
    </w:p>
    <w:p w:rsidR="008F6FCD" w:rsidRDefault="008F6FCD" w:rsidP="00C77802">
      <w:pPr>
        <w:spacing w:line="480" w:lineRule="auto"/>
        <w:contextualSpacing/>
        <w:jc w:val="center"/>
        <w:rPr>
          <w:sz w:val="24"/>
          <w:szCs w:val="24"/>
        </w:rPr>
      </w:pPr>
    </w:p>
    <w:p w:rsidR="009C3939" w:rsidRPr="001129AC" w:rsidRDefault="009C3939" w:rsidP="00C77802">
      <w:pPr>
        <w:spacing w:line="480" w:lineRule="auto"/>
        <w:contextualSpacing/>
        <w:rPr>
          <w:sz w:val="24"/>
          <w:szCs w:val="24"/>
        </w:rPr>
      </w:pPr>
    </w:p>
    <w:p w:rsidR="00C77802" w:rsidRDefault="00C77802" w:rsidP="00C77802">
      <w:pPr>
        <w:spacing w:line="480" w:lineRule="auto"/>
        <w:contextualSpacing/>
        <w:rPr>
          <w:sz w:val="24"/>
          <w:szCs w:val="24"/>
        </w:rPr>
      </w:pPr>
    </w:p>
    <w:p w:rsidR="00C77802" w:rsidRDefault="00C77802" w:rsidP="00C77802">
      <w:pPr>
        <w:spacing w:line="240" w:lineRule="auto"/>
        <w:contextualSpacing/>
        <w:jc w:val="center"/>
        <w:rPr>
          <w:sz w:val="24"/>
          <w:szCs w:val="24"/>
        </w:rPr>
      </w:pPr>
      <w:r>
        <w:rPr>
          <w:sz w:val="24"/>
          <w:szCs w:val="24"/>
        </w:rPr>
        <w:t>A thesis presented to the Honors College of Middle Tennessee State University in partial fulfillment of the requirements for graduation from the University Honors College</w:t>
      </w:r>
    </w:p>
    <w:p w:rsidR="00C77802" w:rsidRDefault="00C77802" w:rsidP="00C77802">
      <w:pPr>
        <w:spacing w:line="240" w:lineRule="auto"/>
        <w:contextualSpacing/>
        <w:jc w:val="center"/>
        <w:rPr>
          <w:sz w:val="24"/>
          <w:szCs w:val="24"/>
        </w:rPr>
      </w:pPr>
    </w:p>
    <w:p w:rsidR="00C77802" w:rsidRDefault="00A71CCD" w:rsidP="00C77802">
      <w:pPr>
        <w:spacing w:line="480" w:lineRule="auto"/>
        <w:contextualSpacing/>
        <w:jc w:val="center"/>
        <w:rPr>
          <w:sz w:val="24"/>
          <w:szCs w:val="24"/>
        </w:rPr>
      </w:pPr>
      <w:r>
        <w:rPr>
          <w:sz w:val="24"/>
          <w:szCs w:val="24"/>
        </w:rPr>
        <w:t>November 30</w:t>
      </w:r>
      <w:r w:rsidR="00C77802">
        <w:rPr>
          <w:sz w:val="24"/>
          <w:szCs w:val="24"/>
        </w:rPr>
        <w:t>, 2016</w:t>
      </w:r>
    </w:p>
    <w:p w:rsidR="00E22D8F" w:rsidRDefault="001D2024" w:rsidP="00537335">
      <w:r>
        <w:br w:type="page"/>
      </w:r>
    </w:p>
    <w:p w:rsidR="00537335" w:rsidRDefault="00537335" w:rsidP="00E22D8F">
      <w:pPr>
        <w:spacing w:line="480" w:lineRule="auto"/>
        <w:contextualSpacing/>
        <w:jc w:val="center"/>
        <w:rPr>
          <w:sz w:val="24"/>
          <w:szCs w:val="24"/>
        </w:rPr>
      </w:pPr>
    </w:p>
    <w:p w:rsidR="00537335" w:rsidRDefault="00537335" w:rsidP="00E22D8F">
      <w:pPr>
        <w:spacing w:line="480" w:lineRule="auto"/>
        <w:contextualSpacing/>
        <w:jc w:val="center"/>
        <w:rPr>
          <w:sz w:val="24"/>
          <w:szCs w:val="24"/>
        </w:rPr>
      </w:pPr>
    </w:p>
    <w:p w:rsidR="00E22D8F" w:rsidRPr="008F6FCD" w:rsidRDefault="00E22D8F" w:rsidP="00E22D8F">
      <w:pPr>
        <w:spacing w:line="480" w:lineRule="auto"/>
        <w:contextualSpacing/>
        <w:jc w:val="center"/>
      </w:pPr>
      <w:r>
        <w:rPr>
          <w:sz w:val="24"/>
          <w:szCs w:val="24"/>
        </w:rPr>
        <w:t>“The Athens of the South”: How the Athenian Parthenon Reinforces and Shapes the Cultural Identity of Nashville, Tennessee</w:t>
      </w:r>
    </w:p>
    <w:p w:rsidR="00E22D8F" w:rsidRDefault="00E22D8F" w:rsidP="00E22D8F">
      <w:pPr>
        <w:spacing w:line="480" w:lineRule="auto"/>
        <w:contextualSpacing/>
        <w:rPr>
          <w:sz w:val="24"/>
          <w:szCs w:val="24"/>
        </w:rPr>
      </w:pPr>
    </w:p>
    <w:p w:rsidR="00E22D8F" w:rsidRPr="001129AC" w:rsidRDefault="00E22D8F" w:rsidP="00E22D8F">
      <w:pPr>
        <w:spacing w:line="480" w:lineRule="auto"/>
        <w:contextualSpacing/>
        <w:rPr>
          <w:sz w:val="24"/>
          <w:szCs w:val="24"/>
        </w:rPr>
      </w:pPr>
    </w:p>
    <w:p w:rsidR="00E22D8F" w:rsidRPr="001129AC" w:rsidRDefault="00E22D8F" w:rsidP="00E22D8F">
      <w:pPr>
        <w:spacing w:line="480" w:lineRule="auto"/>
        <w:contextualSpacing/>
        <w:rPr>
          <w:sz w:val="24"/>
          <w:szCs w:val="24"/>
        </w:rPr>
      </w:pPr>
    </w:p>
    <w:p w:rsidR="00E22D8F" w:rsidRPr="001129AC" w:rsidRDefault="00E22D8F" w:rsidP="00E22D8F">
      <w:pPr>
        <w:spacing w:line="240" w:lineRule="auto"/>
        <w:contextualSpacing/>
        <w:rPr>
          <w:sz w:val="24"/>
          <w:szCs w:val="24"/>
        </w:rPr>
      </w:pPr>
    </w:p>
    <w:p w:rsidR="00E22D8F" w:rsidRPr="001129AC" w:rsidRDefault="00E22D8F" w:rsidP="00E22D8F">
      <w:pPr>
        <w:spacing w:line="240" w:lineRule="auto"/>
        <w:contextualSpacing/>
        <w:jc w:val="center"/>
        <w:rPr>
          <w:sz w:val="24"/>
          <w:szCs w:val="24"/>
        </w:rPr>
      </w:pPr>
      <w:r w:rsidRPr="001129AC">
        <w:rPr>
          <w:sz w:val="24"/>
          <w:szCs w:val="24"/>
        </w:rPr>
        <w:t xml:space="preserve">Luke Howard Judkins </w:t>
      </w:r>
    </w:p>
    <w:p w:rsidR="00E22D8F" w:rsidRPr="001129AC" w:rsidRDefault="00E22D8F" w:rsidP="00E22D8F">
      <w:pPr>
        <w:spacing w:line="480" w:lineRule="auto"/>
        <w:contextualSpacing/>
        <w:jc w:val="center"/>
        <w:rPr>
          <w:sz w:val="24"/>
          <w:szCs w:val="24"/>
        </w:rPr>
      </w:pPr>
    </w:p>
    <w:p w:rsidR="00E22D8F" w:rsidRDefault="00E22D8F" w:rsidP="00E22D8F">
      <w:pPr>
        <w:spacing w:line="480" w:lineRule="auto"/>
        <w:contextualSpacing/>
        <w:rPr>
          <w:sz w:val="24"/>
          <w:szCs w:val="24"/>
        </w:rPr>
      </w:pPr>
    </w:p>
    <w:p w:rsidR="00E22D8F" w:rsidRDefault="00537335" w:rsidP="00970F3B">
      <w:pPr>
        <w:pBdr>
          <w:bottom w:val="single" w:sz="12" w:space="1" w:color="auto"/>
        </w:pBdr>
        <w:spacing w:line="480" w:lineRule="auto"/>
        <w:ind w:left="4320"/>
        <w:contextualSpacing/>
        <w:rPr>
          <w:sz w:val="24"/>
          <w:szCs w:val="24"/>
        </w:rPr>
      </w:pPr>
      <w:r>
        <w:rPr>
          <w:sz w:val="24"/>
          <w:szCs w:val="24"/>
        </w:rPr>
        <w:t>APPROVED:</w:t>
      </w:r>
    </w:p>
    <w:p w:rsidR="00537335" w:rsidRDefault="00537335" w:rsidP="00970F3B">
      <w:pPr>
        <w:pBdr>
          <w:bottom w:val="single" w:sz="12" w:space="1" w:color="auto"/>
        </w:pBdr>
        <w:spacing w:line="480" w:lineRule="auto"/>
        <w:ind w:left="4320"/>
        <w:contextualSpacing/>
        <w:rPr>
          <w:sz w:val="24"/>
          <w:szCs w:val="24"/>
        </w:rPr>
      </w:pPr>
    </w:p>
    <w:p w:rsidR="009C3939" w:rsidRDefault="009C3939" w:rsidP="00970F3B">
      <w:pPr>
        <w:pBdr>
          <w:bottom w:val="single" w:sz="12" w:space="1" w:color="auto"/>
        </w:pBdr>
        <w:spacing w:line="480" w:lineRule="auto"/>
        <w:ind w:left="4320"/>
        <w:contextualSpacing/>
        <w:rPr>
          <w:sz w:val="24"/>
          <w:szCs w:val="24"/>
        </w:rPr>
      </w:pPr>
    </w:p>
    <w:p w:rsidR="00537335" w:rsidRDefault="000979DB" w:rsidP="00970F3B">
      <w:pPr>
        <w:spacing w:line="240" w:lineRule="auto"/>
        <w:ind w:left="4320"/>
        <w:contextualSpacing/>
        <w:rPr>
          <w:sz w:val="24"/>
          <w:szCs w:val="24"/>
        </w:rPr>
      </w:pPr>
      <w:r w:rsidRPr="000979DB">
        <w:rPr>
          <w:sz w:val="24"/>
          <w:szCs w:val="24"/>
        </w:rPr>
        <w:t>Dr.</w:t>
      </w:r>
      <w:r>
        <w:rPr>
          <w:sz w:val="24"/>
          <w:szCs w:val="24"/>
        </w:rPr>
        <w:t xml:space="preserve"> Dawn McCormack</w:t>
      </w:r>
    </w:p>
    <w:p w:rsidR="000979DB" w:rsidRDefault="000979DB" w:rsidP="00970F3B">
      <w:pPr>
        <w:spacing w:line="240" w:lineRule="auto"/>
        <w:ind w:left="4320"/>
        <w:contextualSpacing/>
        <w:rPr>
          <w:sz w:val="24"/>
          <w:szCs w:val="24"/>
        </w:rPr>
      </w:pPr>
      <w:r>
        <w:rPr>
          <w:sz w:val="24"/>
          <w:szCs w:val="24"/>
        </w:rPr>
        <w:t>College of Liberal Arts Associate Dean</w:t>
      </w:r>
    </w:p>
    <w:p w:rsidR="00970F3B" w:rsidRDefault="00970F3B" w:rsidP="00970F3B">
      <w:pPr>
        <w:spacing w:line="240" w:lineRule="auto"/>
        <w:ind w:left="4320"/>
        <w:contextualSpacing/>
        <w:rPr>
          <w:sz w:val="24"/>
          <w:szCs w:val="24"/>
        </w:rPr>
      </w:pPr>
    </w:p>
    <w:p w:rsidR="000979DB" w:rsidRDefault="000979DB" w:rsidP="00970F3B">
      <w:pPr>
        <w:pBdr>
          <w:bottom w:val="single" w:sz="12" w:space="0" w:color="auto"/>
        </w:pBdr>
        <w:spacing w:line="480" w:lineRule="auto"/>
        <w:ind w:left="4320"/>
        <w:contextualSpacing/>
        <w:rPr>
          <w:sz w:val="24"/>
          <w:szCs w:val="24"/>
        </w:rPr>
      </w:pPr>
    </w:p>
    <w:p w:rsidR="009C3939" w:rsidRPr="000979DB" w:rsidRDefault="009C3939" w:rsidP="00970F3B">
      <w:pPr>
        <w:pBdr>
          <w:bottom w:val="single" w:sz="12" w:space="0" w:color="auto"/>
        </w:pBdr>
        <w:spacing w:line="480" w:lineRule="auto"/>
        <w:ind w:left="4320"/>
        <w:contextualSpacing/>
        <w:rPr>
          <w:sz w:val="24"/>
          <w:szCs w:val="24"/>
        </w:rPr>
      </w:pPr>
    </w:p>
    <w:p w:rsidR="00970F3B" w:rsidRDefault="00970F3B" w:rsidP="00970F3B">
      <w:pPr>
        <w:spacing w:line="240" w:lineRule="auto"/>
        <w:ind w:left="4320"/>
        <w:contextualSpacing/>
        <w:rPr>
          <w:sz w:val="24"/>
          <w:szCs w:val="24"/>
        </w:rPr>
      </w:pPr>
      <w:r>
        <w:rPr>
          <w:sz w:val="24"/>
          <w:szCs w:val="24"/>
        </w:rPr>
        <w:t xml:space="preserve">Dr. Janis </w:t>
      </w:r>
      <w:proofErr w:type="spellStart"/>
      <w:r>
        <w:rPr>
          <w:sz w:val="24"/>
          <w:szCs w:val="24"/>
        </w:rPr>
        <w:t>Brickey</w:t>
      </w:r>
      <w:proofErr w:type="spellEnd"/>
    </w:p>
    <w:p w:rsidR="00537335" w:rsidRDefault="00970F3B" w:rsidP="00970F3B">
      <w:pPr>
        <w:spacing w:line="240" w:lineRule="auto"/>
        <w:ind w:left="4320"/>
        <w:contextualSpacing/>
        <w:rPr>
          <w:sz w:val="24"/>
          <w:szCs w:val="24"/>
        </w:rPr>
      </w:pPr>
      <w:r>
        <w:rPr>
          <w:sz w:val="24"/>
          <w:szCs w:val="24"/>
        </w:rPr>
        <w:t>College of Behavioral and Health Sciences</w:t>
      </w:r>
      <w:r w:rsidR="00537335" w:rsidRPr="000979DB">
        <w:rPr>
          <w:sz w:val="24"/>
          <w:szCs w:val="24"/>
        </w:rPr>
        <w:t xml:space="preserve">                                                        </w:t>
      </w:r>
    </w:p>
    <w:p w:rsidR="000979DB" w:rsidRPr="000979DB" w:rsidRDefault="000979DB" w:rsidP="00970F3B">
      <w:pPr>
        <w:spacing w:line="240" w:lineRule="auto"/>
        <w:ind w:left="4320"/>
        <w:contextualSpacing/>
        <w:rPr>
          <w:sz w:val="24"/>
          <w:szCs w:val="24"/>
        </w:rPr>
      </w:pPr>
    </w:p>
    <w:p w:rsidR="000979DB" w:rsidRDefault="000979DB" w:rsidP="00970F3B">
      <w:pPr>
        <w:pBdr>
          <w:bottom w:val="single" w:sz="12" w:space="1" w:color="auto"/>
        </w:pBdr>
        <w:spacing w:line="480" w:lineRule="auto"/>
        <w:ind w:left="4320"/>
        <w:contextualSpacing/>
        <w:rPr>
          <w:sz w:val="24"/>
          <w:szCs w:val="24"/>
        </w:rPr>
      </w:pPr>
    </w:p>
    <w:p w:rsidR="009C3939" w:rsidRPr="000979DB" w:rsidRDefault="009C3939" w:rsidP="00970F3B">
      <w:pPr>
        <w:pBdr>
          <w:bottom w:val="single" w:sz="12" w:space="1" w:color="auto"/>
        </w:pBdr>
        <w:spacing w:line="480" w:lineRule="auto"/>
        <w:ind w:left="4320"/>
        <w:contextualSpacing/>
        <w:rPr>
          <w:sz w:val="24"/>
          <w:szCs w:val="24"/>
        </w:rPr>
      </w:pPr>
    </w:p>
    <w:p w:rsidR="00970F3B" w:rsidRDefault="00970F3B" w:rsidP="00970F3B">
      <w:pPr>
        <w:spacing w:line="240" w:lineRule="auto"/>
        <w:ind w:left="4320"/>
        <w:contextualSpacing/>
        <w:rPr>
          <w:sz w:val="24"/>
          <w:szCs w:val="24"/>
        </w:rPr>
      </w:pPr>
      <w:r>
        <w:rPr>
          <w:sz w:val="24"/>
          <w:szCs w:val="24"/>
        </w:rPr>
        <w:t xml:space="preserve">Dr. Philip Phillips </w:t>
      </w:r>
    </w:p>
    <w:p w:rsidR="00537335" w:rsidRPr="000979DB" w:rsidRDefault="00970F3B" w:rsidP="00970F3B">
      <w:pPr>
        <w:spacing w:line="240" w:lineRule="auto"/>
        <w:ind w:left="4320"/>
        <w:contextualSpacing/>
        <w:rPr>
          <w:sz w:val="24"/>
          <w:szCs w:val="24"/>
        </w:rPr>
      </w:pPr>
      <w:r>
        <w:rPr>
          <w:sz w:val="24"/>
          <w:szCs w:val="24"/>
        </w:rPr>
        <w:t>University Honors College Associate Dean</w:t>
      </w:r>
      <w:r w:rsidR="00537335" w:rsidRPr="000979DB">
        <w:rPr>
          <w:sz w:val="24"/>
          <w:szCs w:val="24"/>
        </w:rPr>
        <w:t xml:space="preserve">                                                        </w:t>
      </w:r>
    </w:p>
    <w:p w:rsidR="00E22D8F" w:rsidRPr="000979DB" w:rsidRDefault="00E22D8F" w:rsidP="000979DB">
      <w:pPr>
        <w:spacing w:line="480" w:lineRule="auto"/>
        <w:ind w:left="4860"/>
        <w:contextualSpacing/>
        <w:rPr>
          <w:sz w:val="24"/>
          <w:szCs w:val="24"/>
        </w:rPr>
      </w:pPr>
    </w:p>
    <w:p w:rsidR="00E22D8F" w:rsidRDefault="00E22D8F" w:rsidP="00E22D8F">
      <w:pPr>
        <w:spacing w:line="480" w:lineRule="auto"/>
        <w:contextualSpacing/>
        <w:jc w:val="center"/>
        <w:rPr>
          <w:sz w:val="24"/>
          <w:szCs w:val="24"/>
        </w:rPr>
      </w:pPr>
    </w:p>
    <w:p w:rsidR="00E22D8F" w:rsidRDefault="00E22D8F" w:rsidP="00E22D8F">
      <w:pPr>
        <w:spacing w:line="480" w:lineRule="auto"/>
        <w:contextualSpacing/>
        <w:jc w:val="center"/>
        <w:rPr>
          <w:sz w:val="24"/>
          <w:szCs w:val="24"/>
        </w:rPr>
      </w:pPr>
    </w:p>
    <w:p w:rsidR="00DB12BE" w:rsidRDefault="001D2024" w:rsidP="00E22D8F">
      <w:pPr>
        <w:pStyle w:val="TOCHeading"/>
        <w:spacing w:line="360" w:lineRule="auto"/>
        <w:contextualSpacing/>
      </w:pPr>
      <w:r w:rsidRPr="00E22D8F">
        <w:br w:type="page"/>
      </w:r>
      <w:r w:rsidR="00DB12BE">
        <w:lastRenderedPageBreak/>
        <w:t xml:space="preserve">                                                                                                                                     </w:t>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E22D8F">
        <w:tab/>
      </w:r>
      <w:r w:rsidR="00E22D8F">
        <w:tab/>
      </w:r>
      <w:r w:rsidR="00E22D8F">
        <w:tab/>
      </w:r>
      <w:r w:rsidR="00E22D8F">
        <w:tab/>
      </w:r>
      <w:r w:rsidR="00E22D8F">
        <w:tab/>
      </w:r>
      <w:r w:rsidR="00E22D8F">
        <w:tab/>
      </w:r>
      <w:r w:rsidR="00E22D8F">
        <w:tab/>
      </w:r>
      <w:r w:rsidR="00E22D8F">
        <w:tab/>
      </w:r>
      <w:r w:rsidR="00E22D8F">
        <w:tab/>
      </w:r>
      <w:r w:rsidR="00E22D8F">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r w:rsidR="00DB12BE">
        <w:tab/>
      </w:r>
    </w:p>
    <w:p w:rsidR="00DB12BE" w:rsidRPr="00DB12BE" w:rsidRDefault="00DB12BE" w:rsidP="00DB12BE">
      <w:pPr>
        <w:pStyle w:val="TOCHeading"/>
        <w:spacing w:line="360" w:lineRule="auto"/>
        <w:contextualSpacing/>
        <w:jc w:val="center"/>
      </w:pPr>
      <w:r w:rsidRPr="00DB12BE">
        <w:rPr>
          <w:rFonts w:asciiTheme="minorHAnsi" w:eastAsiaTheme="minorHAnsi" w:hAnsiTheme="minorHAnsi" w:cstheme="minorBidi"/>
          <w:b w:val="0"/>
          <w:bCs w:val="0"/>
          <w:i/>
          <w:color w:val="auto"/>
          <w:sz w:val="24"/>
          <w:szCs w:val="22"/>
          <w:lang w:eastAsia="en-US"/>
        </w:rPr>
        <w:t>To Mom, Dad, and Gidget</w:t>
      </w:r>
    </w:p>
    <w:p w:rsidR="00DB12BE" w:rsidRPr="00DB12BE" w:rsidRDefault="00DB12BE" w:rsidP="00DB12BE">
      <w:pPr>
        <w:spacing w:line="360" w:lineRule="auto"/>
        <w:contextualSpacing/>
        <w:jc w:val="center"/>
        <w:rPr>
          <w:i/>
          <w:sz w:val="24"/>
        </w:rPr>
      </w:pPr>
      <w:r w:rsidRPr="00DB12BE">
        <w:rPr>
          <w:i/>
          <w:sz w:val="24"/>
        </w:rPr>
        <w:t>To my family and friends</w:t>
      </w:r>
    </w:p>
    <w:p w:rsidR="00DB12BE" w:rsidRPr="00DB12BE" w:rsidRDefault="00DB12BE" w:rsidP="00DB12BE">
      <w:pPr>
        <w:spacing w:line="360" w:lineRule="auto"/>
        <w:contextualSpacing/>
        <w:jc w:val="center"/>
        <w:rPr>
          <w:i/>
          <w:sz w:val="24"/>
        </w:rPr>
      </w:pPr>
      <w:r w:rsidRPr="00DB12BE">
        <w:rPr>
          <w:i/>
          <w:sz w:val="24"/>
        </w:rPr>
        <w:t>To the Kingdom</w:t>
      </w:r>
    </w:p>
    <w:p w:rsidR="001D2024" w:rsidRDefault="001D2024"/>
    <w:p w:rsidR="0048447C" w:rsidRDefault="0048447C" w:rsidP="002D3CCD">
      <w:pPr>
        <w:jc w:val="center"/>
        <w:rPr>
          <w:sz w:val="24"/>
        </w:rPr>
      </w:pPr>
    </w:p>
    <w:p w:rsidR="0048447C" w:rsidRDefault="0048447C" w:rsidP="002D3CCD">
      <w:pPr>
        <w:jc w:val="center"/>
        <w:rPr>
          <w:sz w:val="24"/>
        </w:rPr>
      </w:pPr>
    </w:p>
    <w:p w:rsidR="00DB12BE" w:rsidRDefault="00DB12BE" w:rsidP="002D3CCD">
      <w:pPr>
        <w:jc w:val="center"/>
        <w:rPr>
          <w:sz w:val="24"/>
        </w:rPr>
      </w:pPr>
    </w:p>
    <w:p w:rsidR="00DB12BE" w:rsidRDefault="00DB12BE" w:rsidP="002D3CCD">
      <w:pPr>
        <w:jc w:val="center"/>
        <w:rPr>
          <w:sz w:val="24"/>
        </w:rPr>
      </w:pPr>
    </w:p>
    <w:p w:rsidR="00A854C1" w:rsidRDefault="00A854C1" w:rsidP="002D3CCD">
      <w:pPr>
        <w:jc w:val="center"/>
        <w:rPr>
          <w:sz w:val="24"/>
        </w:rPr>
      </w:pPr>
    </w:p>
    <w:p w:rsidR="00A854C1" w:rsidRDefault="00A854C1" w:rsidP="002D3CCD">
      <w:pPr>
        <w:jc w:val="center"/>
        <w:rPr>
          <w:sz w:val="24"/>
        </w:rPr>
      </w:pPr>
    </w:p>
    <w:p w:rsidR="00A854C1" w:rsidRDefault="00A854C1" w:rsidP="002D3CCD">
      <w:pPr>
        <w:jc w:val="center"/>
        <w:rPr>
          <w:sz w:val="24"/>
        </w:rPr>
      </w:pPr>
    </w:p>
    <w:p w:rsidR="00DB12BE" w:rsidRDefault="00DB12BE" w:rsidP="002D3CCD">
      <w:pPr>
        <w:jc w:val="center"/>
        <w:rPr>
          <w:sz w:val="24"/>
        </w:rPr>
      </w:pPr>
    </w:p>
    <w:p w:rsidR="00DB12BE" w:rsidRDefault="00DB12BE" w:rsidP="002D3CCD">
      <w:pPr>
        <w:jc w:val="center"/>
        <w:rPr>
          <w:sz w:val="24"/>
        </w:rPr>
      </w:pPr>
    </w:p>
    <w:p w:rsidR="00DB12BE" w:rsidRDefault="00DB12BE" w:rsidP="002D3CCD">
      <w:pPr>
        <w:jc w:val="center"/>
        <w:rPr>
          <w:sz w:val="24"/>
        </w:rPr>
      </w:pPr>
    </w:p>
    <w:p w:rsidR="00DB12BE" w:rsidRDefault="00DB12BE" w:rsidP="002D3CCD">
      <w:pPr>
        <w:jc w:val="center"/>
        <w:rPr>
          <w:sz w:val="24"/>
        </w:rPr>
      </w:pPr>
    </w:p>
    <w:p w:rsidR="00DB12BE" w:rsidRDefault="00DB12BE" w:rsidP="002D3CCD">
      <w:pPr>
        <w:jc w:val="center"/>
        <w:rPr>
          <w:sz w:val="24"/>
        </w:rPr>
      </w:pPr>
    </w:p>
    <w:p w:rsidR="0048447C" w:rsidRDefault="0048447C" w:rsidP="00DB12BE">
      <w:pPr>
        <w:rPr>
          <w:sz w:val="24"/>
        </w:rPr>
      </w:pPr>
    </w:p>
    <w:p w:rsidR="001D2024" w:rsidRPr="0048447C" w:rsidRDefault="002D3CCD" w:rsidP="002D3CCD">
      <w:pPr>
        <w:jc w:val="center"/>
        <w:rPr>
          <w:sz w:val="24"/>
        </w:rPr>
      </w:pPr>
      <w:r w:rsidRPr="0048447C">
        <w:rPr>
          <w:sz w:val="24"/>
        </w:rPr>
        <w:lastRenderedPageBreak/>
        <w:t>The Parthenon at Nashville</w:t>
      </w:r>
    </w:p>
    <w:p w:rsidR="0048447C" w:rsidRPr="0048447C" w:rsidRDefault="0048447C" w:rsidP="002D3CCD">
      <w:pPr>
        <w:jc w:val="center"/>
        <w:rPr>
          <w:sz w:val="24"/>
        </w:rPr>
      </w:pPr>
    </w:p>
    <w:p w:rsidR="002D3CCD" w:rsidRPr="0048447C" w:rsidRDefault="002D3CCD" w:rsidP="0048447C">
      <w:pPr>
        <w:spacing w:line="360" w:lineRule="auto"/>
        <w:ind w:left="2880" w:hanging="360"/>
        <w:contextualSpacing/>
        <w:rPr>
          <w:sz w:val="24"/>
        </w:rPr>
      </w:pPr>
      <w:r w:rsidRPr="0048447C">
        <w:rPr>
          <w:sz w:val="24"/>
        </w:rPr>
        <w:t>I saw Athens on a bluegrass hill,</w:t>
      </w:r>
    </w:p>
    <w:p w:rsidR="002D3CCD" w:rsidRPr="0048447C" w:rsidRDefault="002D3CCD" w:rsidP="0048447C">
      <w:pPr>
        <w:spacing w:line="360" w:lineRule="auto"/>
        <w:ind w:left="2700"/>
        <w:contextualSpacing/>
        <w:rPr>
          <w:sz w:val="24"/>
        </w:rPr>
      </w:pPr>
      <w:r w:rsidRPr="0048447C">
        <w:rPr>
          <w:sz w:val="24"/>
        </w:rPr>
        <w:t>Artemis and Aphrodite in her train.</w:t>
      </w:r>
    </w:p>
    <w:p w:rsidR="002D3CCD" w:rsidRPr="0048447C" w:rsidRDefault="002D3CCD" w:rsidP="0048447C">
      <w:pPr>
        <w:spacing w:line="360" w:lineRule="auto"/>
        <w:ind w:left="2700"/>
        <w:contextualSpacing/>
        <w:rPr>
          <w:sz w:val="24"/>
        </w:rPr>
      </w:pPr>
      <w:r w:rsidRPr="0048447C">
        <w:rPr>
          <w:sz w:val="24"/>
        </w:rPr>
        <w:t>Hephaestos forged his thunders in the rain</w:t>
      </w:r>
    </w:p>
    <w:p w:rsidR="002D3CCD" w:rsidRPr="0048447C" w:rsidRDefault="002D3CCD" w:rsidP="0048447C">
      <w:pPr>
        <w:spacing w:line="360" w:lineRule="auto"/>
        <w:ind w:left="2520"/>
        <w:contextualSpacing/>
        <w:rPr>
          <w:sz w:val="24"/>
        </w:rPr>
      </w:pPr>
      <w:r w:rsidRPr="0048447C">
        <w:rPr>
          <w:sz w:val="24"/>
        </w:rPr>
        <w:t>And mists of Lemos. Beside his salty rill</w:t>
      </w:r>
    </w:p>
    <w:p w:rsidR="002D3CCD" w:rsidRPr="0048447C" w:rsidRDefault="002D3CCD" w:rsidP="0048447C">
      <w:pPr>
        <w:spacing w:line="360" w:lineRule="auto"/>
        <w:ind w:left="2520"/>
        <w:contextualSpacing/>
        <w:rPr>
          <w:sz w:val="24"/>
        </w:rPr>
      </w:pPr>
      <w:r w:rsidRPr="0048447C">
        <w:rPr>
          <w:sz w:val="24"/>
        </w:rPr>
        <w:t>Poseidon sat and all the air was still.</w:t>
      </w:r>
    </w:p>
    <w:p w:rsidR="002D3CCD" w:rsidRPr="0048447C" w:rsidRDefault="002D3CCD" w:rsidP="0048447C">
      <w:pPr>
        <w:spacing w:line="360" w:lineRule="auto"/>
        <w:ind w:left="2700"/>
        <w:contextualSpacing/>
        <w:rPr>
          <w:sz w:val="24"/>
        </w:rPr>
      </w:pPr>
      <w:r w:rsidRPr="0048447C">
        <w:rPr>
          <w:sz w:val="24"/>
        </w:rPr>
        <w:t>Awed, in dumb wonder, Zeus sat amain</w:t>
      </w:r>
    </w:p>
    <w:p w:rsidR="002D3CCD" w:rsidRPr="0048447C" w:rsidRDefault="002D3CCD" w:rsidP="0048447C">
      <w:pPr>
        <w:spacing w:line="360" w:lineRule="auto"/>
        <w:ind w:left="2700"/>
        <w:contextualSpacing/>
        <w:rPr>
          <w:sz w:val="24"/>
        </w:rPr>
      </w:pPr>
      <w:r w:rsidRPr="0048447C">
        <w:rPr>
          <w:sz w:val="24"/>
        </w:rPr>
        <w:t>Gazing at his brain-child on the plain</w:t>
      </w:r>
    </w:p>
    <w:p w:rsidR="002D3CCD" w:rsidRPr="0048447C" w:rsidRDefault="002D3CCD" w:rsidP="0048447C">
      <w:pPr>
        <w:spacing w:line="360" w:lineRule="auto"/>
        <w:ind w:left="2520"/>
        <w:contextualSpacing/>
        <w:rPr>
          <w:sz w:val="24"/>
        </w:rPr>
      </w:pPr>
      <w:r w:rsidRPr="0048447C">
        <w:rPr>
          <w:sz w:val="24"/>
        </w:rPr>
        <w:t xml:space="preserve">Sun-crowned – resplendent on this bluegrass. </w:t>
      </w:r>
    </w:p>
    <w:p w:rsidR="002D3CCD" w:rsidRPr="0048447C" w:rsidRDefault="002D3CCD" w:rsidP="0048447C">
      <w:pPr>
        <w:spacing w:line="360" w:lineRule="auto"/>
        <w:ind w:left="2880"/>
        <w:contextualSpacing/>
        <w:rPr>
          <w:sz w:val="24"/>
        </w:rPr>
      </w:pPr>
    </w:p>
    <w:p w:rsidR="002D3CCD" w:rsidRPr="0048447C" w:rsidRDefault="002D3CCD" w:rsidP="0048447C">
      <w:pPr>
        <w:spacing w:line="360" w:lineRule="auto"/>
        <w:ind w:left="2520"/>
        <w:contextualSpacing/>
        <w:rPr>
          <w:sz w:val="24"/>
        </w:rPr>
      </w:pPr>
      <w:r w:rsidRPr="0048447C">
        <w:rPr>
          <w:sz w:val="24"/>
        </w:rPr>
        <w:t>And so, Athena</w:t>
      </w:r>
      <w:r w:rsidR="0048447C" w:rsidRPr="0048447C">
        <w:rPr>
          <w:sz w:val="24"/>
        </w:rPr>
        <w:t xml:space="preserve"> came to Tennessee</w:t>
      </w:r>
    </w:p>
    <w:p w:rsidR="0048447C" w:rsidRPr="0048447C" w:rsidRDefault="0048447C" w:rsidP="0048447C">
      <w:pPr>
        <w:spacing w:line="360" w:lineRule="auto"/>
        <w:ind w:left="2700"/>
        <w:contextualSpacing/>
        <w:rPr>
          <w:sz w:val="24"/>
        </w:rPr>
      </w:pPr>
      <w:r w:rsidRPr="0048447C">
        <w:rPr>
          <w:sz w:val="24"/>
        </w:rPr>
        <w:t>With youth immortal; and Grecian skies</w:t>
      </w:r>
    </w:p>
    <w:p w:rsidR="0048447C" w:rsidRPr="0048447C" w:rsidRDefault="0048447C" w:rsidP="0048447C">
      <w:pPr>
        <w:spacing w:line="360" w:lineRule="auto"/>
        <w:ind w:left="2520"/>
        <w:contextualSpacing/>
        <w:rPr>
          <w:sz w:val="24"/>
        </w:rPr>
      </w:pPr>
      <w:r w:rsidRPr="0048447C">
        <w:rPr>
          <w:sz w:val="24"/>
        </w:rPr>
        <w:t>Are here – the Acropolis – the plain beneath:</w:t>
      </w:r>
    </w:p>
    <w:p w:rsidR="0048447C" w:rsidRPr="0048447C" w:rsidRDefault="0048447C" w:rsidP="0048447C">
      <w:pPr>
        <w:spacing w:line="360" w:lineRule="auto"/>
        <w:ind w:left="2520"/>
        <w:contextualSpacing/>
        <w:rPr>
          <w:sz w:val="24"/>
        </w:rPr>
      </w:pPr>
      <w:r w:rsidRPr="0048447C">
        <w:rPr>
          <w:sz w:val="24"/>
        </w:rPr>
        <w:t>Again the winds blow only for the free.</w:t>
      </w:r>
    </w:p>
    <w:p w:rsidR="0048447C" w:rsidRPr="0048447C" w:rsidRDefault="0048447C" w:rsidP="0048447C">
      <w:pPr>
        <w:spacing w:line="360" w:lineRule="auto"/>
        <w:ind w:left="2700"/>
        <w:contextualSpacing/>
        <w:rPr>
          <w:sz w:val="24"/>
        </w:rPr>
      </w:pPr>
      <w:r w:rsidRPr="0048447C">
        <w:rPr>
          <w:sz w:val="24"/>
        </w:rPr>
        <w:t xml:space="preserve">And dreams fall down on far-off children’s eyes – </w:t>
      </w:r>
    </w:p>
    <w:p w:rsidR="0048447C" w:rsidRPr="0048447C" w:rsidRDefault="0048447C" w:rsidP="0048447C">
      <w:pPr>
        <w:spacing w:line="360" w:lineRule="auto"/>
        <w:ind w:left="2520"/>
        <w:contextualSpacing/>
        <w:rPr>
          <w:sz w:val="24"/>
        </w:rPr>
      </w:pPr>
      <w:r w:rsidRPr="0048447C">
        <w:rPr>
          <w:sz w:val="24"/>
        </w:rPr>
        <w:t>Beauty is birthless and it has no death.</w:t>
      </w:r>
    </w:p>
    <w:p w:rsidR="0048447C" w:rsidRDefault="0048447C" w:rsidP="0048447C">
      <w:pPr>
        <w:spacing w:line="360" w:lineRule="auto"/>
        <w:ind w:left="2880"/>
        <w:contextualSpacing/>
        <w:rPr>
          <w:sz w:val="24"/>
        </w:rPr>
      </w:pPr>
    </w:p>
    <w:p w:rsidR="0048447C" w:rsidRPr="0048447C" w:rsidRDefault="0048447C" w:rsidP="0048447C">
      <w:pPr>
        <w:spacing w:line="360" w:lineRule="auto"/>
        <w:ind w:left="2880"/>
        <w:contextualSpacing/>
        <w:rPr>
          <w:sz w:val="24"/>
        </w:rPr>
      </w:pPr>
    </w:p>
    <w:p w:rsidR="0048447C" w:rsidRPr="0048447C" w:rsidRDefault="0048447C" w:rsidP="0048447C">
      <w:pPr>
        <w:spacing w:line="360" w:lineRule="auto"/>
        <w:ind w:left="2880"/>
        <w:contextualSpacing/>
        <w:jc w:val="right"/>
        <w:rPr>
          <w:sz w:val="24"/>
        </w:rPr>
      </w:pPr>
      <w:r w:rsidRPr="0048447C">
        <w:rPr>
          <w:sz w:val="24"/>
        </w:rPr>
        <w:t>John Trotwood Moore</w:t>
      </w:r>
    </w:p>
    <w:p w:rsidR="0048447C" w:rsidRDefault="0048447C" w:rsidP="0048447C">
      <w:pPr>
        <w:spacing w:line="360" w:lineRule="auto"/>
        <w:ind w:left="2880"/>
        <w:contextualSpacing/>
        <w:jc w:val="right"/>
        <w:rPr>
          <w:sz w:val="24"/>
        </w:rPr>
      </w:pPr>
      <w:r w:rsidRPr="0048447C">
        <w:rPr>
          <w:sz w:val="24"/>
        </w:rPr>
        <w:t>Nashville, May 1, 1926</w:t>
      </w: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48447C">
      <w:pPr>
        <w:spacing w:line="360" w:lineRule="auto"/>
        <w:ind w:left="2880"/>
        <w:contextualSpacing/>
        <w:jc w:val="right"/>
        <w:rPr>
          <w:sz w:val="24"/>
        </w:rPr>
      </w:pPr>
    </w:p>
    <w:p w:rsidR="00DB12BE" w:rsidRDefault="00DB12BE" w:rsidP="00DB12BE">
      <w:pPr>
        <w:spacing w:line="360" w:lineRule="auto"/>
        <w:contextualSpacing/>
        <w:rPr>
          <w:sz w:val="24"/>
        </w:rPr>
      </w:pPr>
    </w:p>
    <w:p w:rsidR="00DB12BE" w:rsidRDefault="00DB12BE" w:rsidP="00DB12BE">
      <w:pPr>
        <w:spacing w:line="360" w:lineRule="auto"/>
        <w:contextualSpacing/>
        <w:rPr>
          <w:sz w:val="24"/>
        </w:rPr>
      </w:pPr>
    </w:p>
    <w:p w:rsidR="00DB12BE" w:rsidRPr="0048447C" w:rsidRDefault="00DB12BE" w:rsidP="00DB12BE">
      <w:pPr>
        <w:spacing w:line="360" w:lineRule="auto"/>
        <w:contextualSpacing/>
        <w:rPr>
          <w:sz w:val="24"/>
        </w:rPr>
      </w:pPr>
    </w:p>
    <w:sdt>
      <w:sdtPr>
        <w:rPr>
          <w:rFonts w:asciiTheme="minorHAnsi" w:eastAsiaTheme="minorHAnsi" w:hAnsiTheme="minorHAnsi" w:cstheme="minorBidi"/>
          <w:b w:val="0"/>
          <w:bCs w:val="0"/>
          <w:color w:val="auto"/>
          <w:sz w:val="22"/>
          <w:szCs w:val="22"/>
          <w:lang w:eastAsia="en-US"/>
        </w:rPr>
        <w:id w:val="-1552525906"/>
        <w:docPartObj>
          <w:docPartGallery w:val="Table of Contents"/>
          <w:docPartUnique/>
        </w:docPartObj>
      </w:sdtPr>
      <w:sdtEndPr>
        <w:rPr>
          <w:noProof/>
          <w:sz w:val="24"/>
        </w:rPr>
      </w:sdtEndPr>
      <w:sdtContent>
        <w:p w:rsidR="00D36953" w:rsidRPr="00DB12BE" w:rsidRDefault="00D36953">
          <w:pPr>
            <w:pStyle w:val="TOCHeading"/>
            <w:rPr>
              <w:rFonts w:asciiTheme="minorHAnsi" w:eastAsiaTheme="minorHAnsi" w:hAnsiTheme="minorHAnsi" w:cstheme="minorBidi"/>
              <w:b w:val="0"/>
              <w:bCs w:val="0"/>
              <w:color w:val="auto"/>
              <w:sz w:val="22"/>
              <w:szCs w:val="22"/>
              <w:lang w:eastAsia="en-US"/>
            </w:rPr>
          </w:pPr>
          <w:r>
            <w:t>Table of Contents</w:t>
          </w:r>
        </w:p>
        <w:p w:rsidR="0019045D" w:rsidRPr="0019045D" w:rsidRDefault="00D36953">
          <w:pPr>
            <w:pStyle w:val="TOC1"/>
            <w:tabs>
              <w:tab w:val="right" w:leader="dot" w:pos="8630"/>
            </w:tabs>
            <w:rPr>
              <w:rFonts w:eastAsiaTheme="minorEastAsia"/>
              <w:noProof/>
              <w:sz w:val="20"/>
            </w:rPr>
          </w:pPr>
          <w:r w:rsidRPr="001D2024">
            <w:fldChar w:fldCharType="begin"/>
          </w:r>
          <w:r w:rsidRPr="001D2024">
            <w:instrText xml:space="preserve"> TOC \o "1-3" \h \z \u </w:instrText>
          </w:r>
          <w:r w:rsidRPr="001D2024">
            <w:fldChar w:fldCharType="separate"/>
          </w:r>
          <w:hyperlink w:anchor="_Toc468630817" w:history="1">
            <w:r w:rsidR="0019045D" w:rsidRPr="0019045D">
              <w:rPr>
                <w:rStyle w:val="Hyperlink"/>
                <w:i/>
                <w:noProof/>
                <w:sz w:val="20"/>
              </w:rPr>
              <w:t>Acknowledgements</w:t>
            </w:r>
            <w:r w:rsidR="0019045D" w:rsidRPr="0019045D">
              <w:rPr>
                <w:noProof/>
                <w:webHidden/>
                <w:sz w:val="20"/>
              </w:rPr>
              <w:tab/>
            </w:r>
            <w:r w:rsidR="0019045D" w:rsidRPr="0019045D">
              <w:rPr>
                <w:noProof/>
                <w:webHidden/>
                <w:sz w:val="20"/>
              </w:rPr>
              <w:fldChar w:fldCharType="begin"/>
            </w:r>
            <w:r w:rsidR="0019045D" w:rsidRPr="0019045D">
              <w:rPr>
                <w:noProof/>
                <w:webHidden/>
                <w:sz w:val="20"/>
              </w:rPr>
              <w:instrText xml:space="preserve"> PAGEREF _Toc468630817 \h </w:instrText>
            </w:r>
            <w:r w:rsidR="0019045D" w:rsidRPr="0019045D">
              <w:rPr>
                <w:noProof/>
                <w:webHidden/>
                <w:sz w:val="20"/>
              </w:rPr>
            </w:r>
            <w:r w:rsidR="0019045D" w:rsidRPr="0019045D">
              <w:rPr>
                <w:noProof/>
                <w:webHidden/>
                <w:sz w:val="20"/>
              </w:rPr>
              <w:fldChar w:fldCharType="separate"/>
            </w:r>
            <w:r w:rsidR="00FA56AB">
              <w:rPr>
                <w:noProof/>
                <w:webHidden/>
                <w:sz w:val="20"/>
              </w:rPr>
              <w:t>viii</w:t>
            </w:r>
            <w:r w:rsidR="0019045D" w:rsidRPr="0019045D">
              <w:rPr>
                <w:noProof/>
                <w:webHidden/>
                <w:sz w:val="20"/>
              </w:rPr>
              <w:fldChar w:fldCharType="end"/>
            </w:r>
          </w:hyperlink>
        </w:p>
        <w:p w:rsidR="0019045D" w:rsidRPr="0019045D" w:rsidRDefault="0019045D">
          <w:pPr>
            <w:pStyle w:val="TOC1"/>
            <w:tabs>
              <w:tab w:val="right" w:leader="dot" w:pos="8630"/>
            </w:tabs>
            <w:rPr>
              <w:rFonts w:eastAsiaTheme="minorEastAsia"/>
              <w:noProof/>
              <w:sz w:val="20"/>
            </w:rPr>
          </w:pPr>
          <w:hyperlink w:anchor="_Toc468630818" w:history="1">
            <w:r w:rsidRPr="0019045D">
              <w:rPr>
                <w:rStyle w:val="Hyperlink"/>
                <w:i/>
                <w:noProof/>
                <w:sz w:val="20"/>
              </w:rPr>
              <w:t>Introduction</w:t>
            </w:r>
            <w:r w:rsidRPr="0019045D">
              <w:rPr>
                <w:noProof/>
                <w:webHidden/>
                <w:sz w:val="20"/>
              </w:rPr>
              <w:tab/>
            </w:r>
            <w:r w:rsidRPr="0019045D">
              <w:rPr>
                <w:noProof/>
                <w:webHidden/>
                <w:sz w:val="20"/>
              </w:rPr>
              <w:fldChar w:fldCharType="begin"/>
            </w:r>
            <w:r w:rsidRPr="0019045D">
              <w:rPr>
                <w:noProof/>
                <w:webHidden/>
                <w:sz w:val="20"/>
              </w:rPr>
              <w:instrText xml:space="preserve"> PAGEREF _Toc468630818 \h </w:instrText>
            </w:r>
            <w:r w:rsidRPr="0019045D">
              <w:rPr>
                <w:noProof/>
                <w:webHidden/>
                <w:sz w:val="20"/>
              </w:rPr>
            </w:r>
            <w:r w:rsidRPr="0019045D">
              <w:rPr>
                <w:noProof/>
                <w:webHidden/>
                <w:sz w:val="20"/>
              </w:rPr>
              <w:fldChar w:fldCharType="separate"/>
            </w:r>
            <w:r w:rsidR="00FA56AB">
              <w:rPr>
                <w:noProof/>
                <w:webHidden/>
                <w:sz w:val="20"/>
              </w:rPr>
              <w:t>ix</w:t>
            </w:r>
            <w:r w:rsidRPr="0019045D">
              <w:rPr>
                <w:noProof/>
                <w:webHidden/>
                <w:sz w:val="20"/>
              </w:rPr>
              <w:fldChar w:fldCharType="end"/>
            </w:r>
          </w:hyperlink>
        </w:p>
        <w:p w:rsidR="0019045D" w:rsidRPr="0019045D" w:rsidRDefault="0019045D">
          <w:pPr>
            <w:pStyle w:val="TOC1"/>
            <w:tabs>
              <w:tab w:val="right" w:leader="dot" w:pos="8630"/>
            </w:tabs>
            <w:rPr>
              <w:rFonts w:eastAsiaTheme="minorEastAsia"/>
              <w:noProof/>
              <w:sz w:val="20"/>
            </w:rPr>
          </w:pPr>
          <w:hyperlink w:anchor="_Toc468630819" w:history="1">
            <w:r w:rsidRPr="0019045D">
              <w:rPr>
                <w:rStyle w:val="Hyperlink"/>
                <w:i/>
                <w:noProof/>
                <w:sz w:val="20"/>
              </w:rPr>
              <w:t>Chapter I – Nashville, Tennessee: “The Athens of the South”</w:t>
            </w:r>
            <w:r w:rsidRPr="0019045D">
              <w:rPr>
                <w:noProof/>
                <w:webHidden/>
                <w:sz w:val="20"/>
              </w:rPr>
              <w:tab/>
            </w:r>
            <w:r w:rsidRPr="0019045D">
              <w:rPr>
                <w:noProof/>
                <w:webHidden/>
                <w:sz w:val="20"/>
              </w:rPr>
              <w:fldChar w:fldCharType="begin"/>
            </w:r>
            <w:r w:rsidRPr="0019045D">
              <w:rPr>
                <w:noProof/>
                <w:webHidden/>
                <w:sz w:val="20"/>
              </w:rPr>
              <w:instrText xml:space="preserve"> PAGEREF _Toc468630819 \h </w:instrText>
            </w:r>
            <w:r w:rsidRPr="0019045D">
              <w:rPr>
                <w:noProof/>
                <w:webHidden/>
                <w:sz w:val="20"/>
              </w:rPr>
            </w:r>
            <w:r w:rsidRPr="0019045D">
              <w:rPr>
                <w:noProof/>
                <w:webHidden/>
                <w:sz w:val="20"/>
              </w:rPr>
              <w:fldChar w:fldCharType="separate"/>
            </w:r>
            <w:r w:rsidR="00FA56AB">
              <w:rPr>
                <w:noProof/>
                <w:webHidden/>
                <w:sz w:val="20"/>
              </w:rPr>
              <w:t>1</w:t>
            </w:r>
            <w:r w:rsidRPr="0019045D">
              <w:rPr>
                <w:noProof/>
                <w:webHidden/>
                <w:sz w:val="20"/>
              </w:rPr>
              <w:fldChar w:fldCharType="end"/>
            </w:r>
          </w:hyperlink>
        </w:p>
        <w:p w:rsidR="0019045D" w:rsidRPr="0019045D" w:rsidRDefault="0019045D">
          <w:pPr>
            <w:pStyle w:val="TOC1"/>
            <w:tabs>
              <w:tab w:val="right" w:leader="dot" w:pos="8630"/>
            </w:tabs>
            <w:rPr>
              <w:rFonts w:eastAsiaTheme="minorEastAsia"/>
              <w:noProof/>
              <w:sz w:val="20"/>
            </w:rPr>
          </w:pPr>
          <w:hyperlink w:anchor="_Toc468630825" w:history="1">
            <w:r w:rsidRPr="0019045D">
              <w:rPr>
                <w:rStyle w:val="Hyperlink"/>
                <w:i/>
                <w:noProof/>
                <w:sz w:val="20"/>
              </w:rPr>
              <w:t>Chapter II – The Centennial Exposition: Enter Parthenon</w:t>
            </w:r>
            <w:r w:rsidRPr="0019045D">
              <w:rPr>
                <w:noProof/>
                <w:webHidden/>
                <w:sz w:val="20"/>
              </w:rPr>
              <w:tab/>
            </w:r>
            <w:r w:rsidRPr="0019045D">
              <w:rPr>
                <w:noProof/>
                <w:webHidden/>
                <w:sz w:val="20"/>
              </w:rPr>
              <w:fldChar w:fldCharType="begin"/>
            </w:r>
            <w:r w:rsidRPr="0019045D">
              <w:rPr>
                <w:noProof/>
                <w:webHidden/>
                <w:sz w:val="20"/>
              </w:rPr>
              <w:instrText xml:space="preserve"> PAGEREF _Toc468630825 \h </w:instrText>
            </w:r>
            <w:r w:rsidRPr="0019045D">
              <w:rPr>
                <w:noProof/>
                <w:webHidden/>
                <w:sz w:val="20"/>
              </w:rPr>
            </w:r>
            <w:r w:rsidRPr="0019045D">
              <w:rPr>
                <w:noProof/>
                <w:webHidden/>
                <w:sz w:val="20"/>
              </w:rPr>
              <w:fldChar w:fldCharType="separate"/>
            </w:r>
            <w:r w:rsidR="00FA56AB">
              <w:rPr>
                <w:noProof/>
                <w:webHidden/>
                <w:sz w:val="20"/>
              </w:rPr>
              <w:t>20</w:t>
            </w:r>
            <w:r w:rsidRPr="0019045D">
              <w:rPr>
                <w:noProof/>
                <w:webHidden/>
                <w:sz w:val="20"/>
              </w:rPr>
              <w:fldChar w:fldCharType="end"/>
            </w:r>
          </w:hyperlink>
        </w:p>
        <w:p w:rsidR="0019045D" w:rsidRPr="0019045D" w:rsidRDefault="0019045D">
          <w:pPr>
            <w:pStyle w:val="TOC1"/>
            <w:tabs>
              <w:tab w:val="right" w:leader="dot" w:pos="8630"/>
            </w:tabs>
            <w:rPr>
              <w:rFonts w:eastAsiaTheme="minorEastAsia"/>
              <w:noProof/>
              <w:sz w:val="20"/>
            </w:rPr>
          </w:pPr>
          <w:hyperlink w:anchor="_Toc468630834" w:history="1">
            <w:r w:rsidRPr="0019045D">
              <w:rPr>
                <w:rStyle w:val="Hyperlink"/>
                <w:i/>
                <w:noProof/>
                <w:sz w:val="20"/>
              </w:rPr>
              <w:t>Chapter III – Athens and the Parthenon: The Origin of Identity</w:t>
            </w:r>
            <w:r w:rsidRPr="0019045D">
              <w:rPr>
                <w:noProof/>
                <w:webHidden/>
                <w:sz w:val="20"/>
              </w:rPr>
              <w:tab/>
            </w:r>
            <w:r w:rsidRPr="0019045D">
              <w:rPr>
                <w:noProof/>
                <w:webHidden/>
                <w:sz w:val="20"/>
              </w:rPr>
              <w:fldChar w:fldCharType="begin"/>
            </w:r>
            <w:r w:rsidRPr="0019045D">
              <w:rPr>
                <w:noProof/>
                <w:webHidden/>
                <w:sz w:val="20"/>
              </w:rPr>
              <w:instrText xml:space="preserve"> PAGEREF _Toc468630834 \h </w:instrText>
            </w:r>
            <w:r w:rsidRPr="0019045D">
              <w:rPr>
                <w:noProof/>
                <w:webHidden/>
                <w:sz w:val="20"/>
              </w:rPr>
            </w:r>
            <w:r w:rsidRPr="0019045D">
              <w:rPr>
                <w:noProof/>
                <w:webHidden/>
                <w:sz w:val="20"/>
              </w:rPr>
              <w:fldChar w:fldCharType="separate"/>
            </w:r>
            <w:r w:rsidR="00FA56AB">
              <w:rPr>
                <w:noProof/>
                <w:webHidden/>
                <w:sz w:val="20"/>
              </w:rPr>
              <w:t>40</w:t>
            </w:r>
            <w:r w:rsidRPr="0019045D">
              <w:rPr>
                <w:noProof/>
                <w:webHidden/>
                <w:sz w:val="20"/>
              </w:rPr>
              <w:fldChar w:fldCharType="end"/>
            </w:r>
          </w:hyperlink>
        </w:p>
        <w:p w:rsidR="0019045D" w:rsidRPr="0019045D" w:rsidRDefault="0019045D">
          <w:pPr>
            <w:pStyle w:val="TOC1"/>
            <w:tabs>
              <w:tab w:val="right" w:leader="dot" w:pos="8630"/>
            </w:tabs>
            <w:rPr>
              <w:rFonts w:eastAsiaTheme="minorEastAsia"/>
              <w:noProof/>
              <w:sz w:val="20"/>
            </w:rPr>
          </w:pPr>
          <w:hyperlink w:anchor="_Toc468630842" w:history="1">
            <w:r w:rsidRPr="0019045D">
              <w:rPr>
                <w:rStyle w:val="Hyperlink"/>
                <w:i/>
                <w:noProof/>
                <w:sz w:val="20"/>
              </w:rPr>
              <w:t>Chapter IV – The Akropolis of Nashville: Centennial Park</w:t>
            </w:r>
            <w:r w:rsidRPr="0019045D">
              <w:rPr>
                <w:noProof/>
                <w:webHidden/>
                <w:sz w:val="20"/>
              </w:rPr>
              <w:tab/>
            </w:r>
            <w:r w:rsidRPr="0019045D">
              <w:rPr>
                <w:noProof/>
                <w:webHidden/>
                <w:sz w:val="20"/>
              </w:rPr>
              <w:fldChar w:fldCharType="begin"/>
            </w:r>
            <w:r w:rsidRPr="0019045D">
              <w:rPr>
                <w:noProof/>
                <w:webHidden/>
                <w:sz w:val="20"/>
              </w:rPr>
              <w:instrText xml:space="preserve"> PAGEREF _Toc468630842 \h </w:instrText>
            </w:r>
            <w:r w:rsidRPr="0019045D">
              <w:rPr>
                <w:noProof/>
                <w:webHidden/>
                <w:sz w:val="20"/>
              </w:rPr>
            </w:r>
            <w:r w:rsidRPr="0019045D">
              <w:rPr>
                <w:noProof/>
                <w:webHidden/>
                <w:sz w:val="20"/>
              </w:rPr>
              <w:fldChar w:fldCharType="separate"/>
            </w:r>
            <w:r w:rsidR="00FA56AB">
              <w:rPr>
                <w:noProof/>
                <w:webHidden/>
                <w:sz w:val="20"/>
              </w:rPr>
              <w:t>58</w:t>
            </w:r>
            <w:r w:rsidRPr="0019045D">
              <w:rPr>
                <w:noProof/>
                <w:webHidden/>
                <w:sz w:val="20"/>
              </w:rPr>
              <w:fldChar w:fldCharType="end"/>
            </w:r>
          </w:hyperlink>
        </w:p>
        <w:p w:rsidR="0019045D" w:rsidRDefault="0019045D">
          <w:pPr>
            <w:pStyle w:val="TOC1"/>
            <w:tabs>
              <w:tab w:val="right" w:leader="dot" w:pos="8630"/>
            </w:tabs>
            <w:rPr>
              <w:rFonts w:eastAsiaTheme="minorEastAsia"/>
              <w:noProof/>
            </w:rPr>
          </w:pPr>
          <w:hyperlink w:anchor="_Toc468630847" w:history="1">
            <w:r w:rsidRPr="0019045D">
              <w:rPr>
                <w:rStyle w:val="Hyperlink"/>
                <w:i/>
                <w:noProof/>
                <w:sz w:val="20"/>
              </w:rPr>
              <w:t>Bibliography</w:t>
            </w:r>
            <w:r w:rsidRPr="0019045D">
              <w:rPr>
                <w:noProof/>
                <w:webHidden/>
                <w:sz w:val="20"/>
              </w:rPr>
              <w:tab/>
            </w:r>
            <w:r w:rsidRPr="0019045D">
              <w:rPr>
                <w:noProof/>
                <w:webHidden/>
                <w:sz w:val="20"/>
              </w:rPr>
              <w:fldChar w:fldCharType="begin"/>
            </w:r>
            <w:r w:rsidRPr="0019045D">
              <w:rPr>
                <w:noProof/>
                <w:webHidden/>
                <w:sz w:val="20"/>
              </w:rPr>
              <w:instrText xml:space="preserve"> PAGEREF _Toc468630847 \h </w:instrText>
            </w:r>
            <w:r w:rsidRPr="0019045D">
              <w:rPr>
                <w:noProof/>
                <w:webHidden/>
                <w:sz w:val="20"/>
              </w:rPr>
            </w:r>
            <w:r w:rsidRPr="0019045D">
              <w:rPr>
                <w:noProof/>
                <w:webHidden/>
                <w:sz w:val="20"/>
              </w:rPr>
              <w:fldChar w:fldCharType="separate"/>
            </w:r>
            <w:r w:rsidR="00FA56AB">
              <w:rPr>
                <w:noProof/>
                <w:webHidden/>
                <w:sz w:val="20"/>
              </w:rPr>
              <w:t>85</w:t>
            </w:r>
            <w:r w:rsidRPr="0019045D">
              <w:rPr>
                <w:noProof/>
                <w:webHidden/>
                <w:sz w:val="20"/>
              </w:rPr>
              <w:fldChar w:fldCharType="end"/>
            </w:r>
          </w:hyperlink>
        </w:p>
        <w:p w:rsidR="00667089" w:rsidRPr="004E0130" w:rsidRDefault="00D36953" w:rsidP="00667089">
          <w:pPr>
            <w:rPr>
              <w:sz w:val="24"/>
            </w:rPr>
          </w:pPr>
          <w:r w:rsidRPr="001D2024">
            <w:rPr>
              <w:b/>
              <w:bCs/>
              <w:noProof/>
            </w:rPr>
            <w:fldChar w:fldCharType="end"/>
          </w:r>
        </w:p>
      </w:sdtContent>
    </w:sdt>
    <w:p w:rsidR="00F95F27" w:rsidRDefault="00F95F27">
      <w:pPr>
        <w:pStyle w:val="TableofFigures"/>
        <w:tabs>
          <w:tab w:val="right" w:leader="dot" w:pos="8630"/>
        </w:tabs>
        <w:rPr>
          <w:b/>
          <w:bCs/>
          <w:sz w:val="20"/>
        </w:rPr>
      </w:pPr>
    </w:p>
    <w:p w:rsidR="00F95F27" w:rsidRPr="00F95F27" w:rsidRDefault="00F95F27" w:rsidP="00F95F27">
      <w:pPr>
        <w:pStyle w:val="TOCHeading"/>
        <w:rPr>
          <w:rFonts w:asciiTheme="minorHAnsi" w:eastAsiaTheme="minorHAnsi" w:hAnsiTheme="minorHAnsi" w:cstheme="minorBidi"/>
          <w:b w:val="0"/>
          <w:bCs w:val="0"/>
          <w:color w:val="auto"/>
          <w:sz w:val="22"/>
          <w:szCs w:val="22"/>
          <w:lang w:eastAsia="en-US"/>
        </w:rPr>
      </w:pPr>
      <w:r>
        <w:t>Table of Figures</w:t>
      </w:r>
    </w:p>
    <w:p w:rsidR="00B158C0" w:rsidRDefault="0019045D">
      <w:pPr>
        <w:pStyle w:val="TableofFigures"/>
        <w:tabs>
          <w:tab w:val="right" w:leader="dot" w:pos="8630"/>
        </w:tabs>
        <w:rPr>
          <w:rFonts w:eastAsiaTheme="minorEastAsia"/>
          <w:noProof/>
          <w:sz w:val="22"/>
        </w:rPr>
      </w:pPr>
      <w:r w:rsidRPr="00DF37C1">
        <w:rPr>
          <w:b/>
          <w:bCs/>
          <w:sz w:val="20"/>
        </w:rPr>
        <w:fldChar w:fldCharType="begin"/>
      </w:r>
      <w:r w:rsidRPr="00DF37C1">
        <w:rPr>
          <w:b/>
          <w:bCs/>
          <w:sz w:val="20"/>
        </w:rPr>
        <w:instrText xml:space="preserve"> TOC \t "Heading 2" \c </w:instrText>
      </w:r>
      <w:r w:rsidRPr="00DF37C1">
        <w:rPr>
          <w:b/>
          <w:bCs/>
          <w:sz w:val="20"/>
        </w:rPr>
        <w:fldChar w:fldCharType="separate"/>
      </w:r>
      <w:r w:rsidR="00B158C0">
        <w:rPr>
          <w:noProof/>
        </w:rPr>
        <w:t>Figure 1</w:t>
      </w:r>
      <w:r w:rsidR="00B158C0">
        <w:rPr>
          <w:noProof/>
        </w:rPr>
        <w:noBreakHyphen/>
        <w:t>1: Map of Middle Tennessee 1795</w:t>
      </w:r>
      <w:r w:rsidR="00B158C0">
        <w:rPr>
          <w:noProof/>
        </w:rPr>
        <w:tab/>
      </w:r>
      <w:r w:rsidR="00B158C0">
        <w:rPr>
          <w:noProof/>
        </w:rPr>
        <w:fldChar w:fldCharType="begin"/>
      </w:r>
      <w:r w:rsidR="00B158C0">
        <w:rPr>
          <w:noProof/>
        </w:rPr>
        <w:instrText xml:space="preserve"> PAGEREF _Toc468648988 \h </w:instrText>
      </w:r>
      <w:r w:rsidR="00B158C0">
        <w:rPr>
          <w:noProof/>
        </w:rPr>
      </w:r>
      <w:r w:rsidR="00B158C0">
        <w:rPr>
          <w:noProof/>
        </w:rPr>
        <w:fldChar w:fldCharType="separate"/>
      </w:r>
      <w:r w:rsidR="00FA56AB">
        <w:rPr>
          <w:noProof/>
        </w:rPr>
        <w:t>2</w:t>
      </w:r>
      <w:r w:rsidR="00B158C0">
        <w:rPr>
          <w:noProof/>
        </w:rPr>
        <w:fldChar w:fldCharType="end"/>
      </w:r>
    </w:p>
    <w:p w:rsidR="00B158C0" w:rsidRDefault="00B158C0">
      <w:pPr>
        <w:pStyle w:val="TableofFigures"/>
        <w:tabs>
          <w:tab w:val="right" w:leader="dot" w:pos="8630"/>
        </w:tabs>
        <w:rPr>
          <w:rFonts w:eastAsiaTheme="minorEastAsia"/>
          <w:noProof/>
          <w:sz w:val="22"/>
        </w:rPr>
      </w:pPr>
      <w:r>
        <w:rPr>
          <w:noProof/>
        </w:rPr>
        <w:t>Figure 1</w:t>
      </w:r>
      <w:r>
        <w:rPr>
          <w:noProof/>
        </w:rPr>
        <w:noBreakHyphen/>
        <w:t>2: Captain James Robertson</w:t>
      </w:r>
      <w:r>
        <w:rPr>
          <w:noProof/>
        </w:rPr>
        <w:tab/>
      </w:r>
      <w:r>
        <w:rPr>
          <w:noProof/>
        </w:rPr>
        <w:fldChar w:fldCharType="begin"/>
      </w:r>
      <w:r>
        <w:rPr>
          <w:noProof/>
        </w:rPr>
        <w:instrText xml:space="preserve"> PAGEREF _Toc468648989 \h </w:instrText>
      </w:r>
      <w:r>
        <w:rPr>
          <w:noProof/>
        </w:rPr>
      </w:r>
      <w:r>
        <w:rPr>
          <w:noProof/>
        </w:rPr>
        <w:fldChar w:fldCharType="separate"/>
      </w:r>
      <w:r w:rsidR="00FA56AB">
        <w:rPr>
          <w:noProof/>
        </w:rPr>
        <w:t>3</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1</w:t>
      </w:r>
      <w:r>
        <w:rPr>
          <w:noProof/>
        </w:rPr>
        <w:noBreakHyphen/>
        <w:t>3: Philip Lindsley</w:t>
      </w:r>
      <w:r>
        <w:rPr>
          <w:noProof/>
        </w:rPr>
        <w:tab/>
      </w:r>
      <w:r>
        <w:rPr>
          <w:noProof/>
        </w:rPr>
        <w:fldChar w:fldCharType="begin"/>
      </w:r>
      <w:r>
        <w:rPr>
          <w:noProof/>
        </w:rPr>
        <w:instrText xml:space="preserve"> PAGEREF _Toc468648990 \h </w:instrText>
      </w:r>
      <w:r>
        <w:rPr>
          <w:noProof/>
        </w:rPr>
      </w:r>
      <w:r>
        <w:rPr>
          <w:noProof/>
        </w:rPr>
        <w:fldChar w:fldCharType="separate"/>
      </w:r>
      <w:r w:rsidR="00FA56AB">
        <w:rPr>
          <w:noProof/>
        </w:rPr>
        <w:t>11</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1</w:t>
      </w:r>
      <w:r>
        <w:rPr>
          <w:noProof/>
        </w:rPr>
        <w:noBreakHyphen/>
        <w:t>4: Colonel J. George Harris, The Nashville Union – March 11, 1839</w:t>
      </w:r>
      <w:r>
        <w:rPr>
          <w:noProof/>
        </w:rPr>
        <w:tab/>
      </w:r>
      <w:r>
        <w:rPr>
          <w:noProof/>
        </w:rPr>
        <w:fldChar w:fldCharType="begin"/>
      </w:r>
      <w:r>
        <w:rPr>
          <w:noProof/>
        </w:rPr>
        <w:instrText xml:space="preserve"> PAGEREF _Toc468648991 \h </w:instrText>
      </w:r>
      <w:r>
        <w:rPr>
          <w:noProof/>
        </w:rPr>
      </w:r>
      <w:r>
        <w:rPr>
          <w:noProof/>
        </w:rPr>
        <w:fldChar w:fldCharType="separate"/>
      </w:r>
      <w:r w:rsidR="00FA56AB">
        <w:rPr>
          <w:noProof/>
        </w:rPr>
        <w:t>15</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1-5: Map of the city of Nashville and vicinity 1877</w:t>
      </w:r>
      <w:r>
        <w:rPr>
          <w:noProof/>
        </w:rPr>
        <w:tab/>
      </w:r>
      <w:r>
        <w:rPr>
          <w:noProof/>
        </w:rPr>
        <w:fldChar w:fldCharType="begin"/>
      </w:r>
      <w:r>
        <w:rPr>
          <w:noProof/>
        </w:rPr>
        <w:instrText xml:space="preserve"> PAGEREF _Toc468648992 \h </w:instrText>
      </w:r>
      <w:r>
        <w:rPr>
          <w:noProof/>
        </w:rPr>
      </w:r>
      <w:r>
        <w:rPr>
          <w:noProof/>
        </w:rPr>
        <w:fldChar w:fldCharType="separate"/>
      </w:r>
      <w:r w:rsidR="00FA56AB">
        <w:rPr>
          <w:noProof/>
        </w:rPr>
        <w:t>19</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1: John W. Thomas</w:t>
      </w:r>
      <w:r>
        <w:rPr>
          <w:noProof/>
        </w:rPr>
        <w:tab/>
      </w:r>
      <w:r>
        <w:rPr>
          <w:noProof/>
        </w:rPr>
        <w:fldChar w:fldCharType="begin"/>
      </w:r>
      <w:r>
        <w:rPr>
          <w:noProof/>
        </w:rPr>
        <w:instrText xml:space="preserve"> PAGEREF _Toc468648993 \h </w:instrText>
      </w:r>
      <w:r>
        <w:rPr>
          <w:noProof/>
        </w:rPr>
      </w:r>
      <w:r>
        <w:rPr>
          <w:noProof/>
        </w:rPr>
        <w:fldChar w:fldCharType="separate"/>
      </w:r>
      <w:r w:rsidR="00FA56AB">
        <w:rPr>
          <w:noProof/>
        </w:rPr>
        <w:t>22</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2: Major Eugene C. Lewis</w:t>
      </w:r>
      <w:r>
        <w:rPr>
          <w:noProof/>
        </w:rPr>
        <w:tab/>
      </w:r>
      <w:r>
        <w:rPr>
          <w:noProof/>
        </w:rPr>
        <w:fldChar w:fldCharType="begin"/>
      </w:r>
      <w:r>
        <w:rPr>
          <w:noProof/>
        </w:rPr>
        <w:instrText xml:space="preserve"> PAGEREF _Toc468648994 \h </w:instrText>
      </w:r>
      <w:r>
        <w:rPr>
          <w:noProof/>
        </w:rPr>
      </w:r>
      <w:r>
        <w:rPr>
          <w:noProof/>
        </w:rPr>
        <w:fldChar w:fldCharType="separate"/>
      </w:r>
      <w:r w:rsidR="00FA56AB">
        <w:rPr>
          <w:noProof/>
        </w:rPr>
        <w:t>23</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3: John Thomas to Ross-Meehan Foundry Co. – February 26, 1897</w:t>
      </w:r>
      <w:r>
        <w:rPr>
          <w:noProof/>
        </w:rPr>
        <w:tab/>
      </w:r>
      <w:r>
        <w:rPr>
          <w:noProof/>
        </w:rPr>
        <w:fldChar w:fldCharType="begin"/>
      </w:r>
      <w:r>
        <w:rPr>
          <w:noProof/>
        </w:rPr>
        <w:instrText xml:space="preserve"> PAGEREF _Toc468648995 \h </w:instrText>
      </w:r>
      <w:r>
        <w:rPr>
          <w:noProof/>
        </w:rPr>
      </w:r>
      <w:r>
        <w:rPr>
          <w:noProof/>
        </w:rPr>
        <w:fldChar w:fldCharType="separate"/>
      </w:r>
      <w:r w:rsidR="00FA56AB">
        <w:rPr>
          <w:noProof/>
        </w:rPr>
        <w:t>24</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4: John Thomas to J. C. Hemphill, Esq. – May 26, 1900</w:t>
      </w:r>
      <w:r>
        <w:rPr>
          <w:noProof/>
        </w:rPr>
        <w:tab/>
      </w:r>
      <w:r>
        <w:rPr>
          <w:noProof/>
        </w:rPr>
        <w:fldChar w:fldCharType="begin"/>
      </w:r>
      <w:r>
        <w:rPr>
          <w:noProof/>
        </w:rPr>
        <w:instrText xml:space="preserve"> PAGEREF _Toc468648996 \h </w:instrText>
      </w:r>
      <w:r>
        <w:rPr>
          <w:noProof/>
        </w:rPr>
      </w:r>
      <w:r>
        <w:rPr>
          <w:noProof/>
        </w:rPr>
        <w:fldChar w:fldCharType="separate"/>
      </w:r>
      <w:r w:rsidR="00FA56AB">
        <w:rPr>
          <w:noProof/>
        </w:rPr>
        <w:t>25</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5: John Thomas to Edgar C. Felton, Esq. – December 26, 1896</w:t>
      </w:r>
      <w:r>
        <w:rPr>
          <w:noProof/>
        </w:rPr>
        <w:tab/>
      </w:r>
      <w:r>
        <w:rPr>
          <w:noProof/>
        </w:rPr>
        <w:fldChar w:fldCharType="begin"/>
      </w:r>
      <w:r>
        <w:rPr>
          <w:noProof/>
        </w:rPr>
        <w:instrText xml:space="preserve"> PAGEREF _Toc468648997 \h </w:instrText>
      </w:r>
      <w:r>
        <w:rPr>
          <w:noProof/>
        </w:rPr>
      </w:r>
      <w:r>
        <w:rPr>
          <w:noProof/>
        </w:rPr>
        <w:fldChar w:fldCharType="separate"/>
      </w:r>
      <w:r w:rsidR="00FA56AB">
        <w:rPr>
          <w:noProof/>
        </w:rPr>
        <w:t>28</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6: John Thomas to Colonel John H. Averill – March 13, 1900</w:t>
      </w:r>
      <w:r>
        <w:rPr>
          <w:noProof/>
        </w:rPr>
        <w:tab/>
      </w:r>
      <w:r>
        <w:rPr>
          <w:noProof/>
        </w:rPr>
        <w:fldChar w:fldCharType="begin"/>
      </w:r>
      <w:r>
        <w:rPr>
          <w:noProof/>
        </w:rPr>
        <w:instrText xml:space="preserve"> PAGEREF _Toc468648998 \h </w:instrText>
      </w:r>
      <w:r>
        <w:rPr>
          <w:noProof/>
        </w:rPr>
      </w:r>
      <w:r>
        <w:rPr>
          <w:noProof/>
        </w:rPr>
        <w:fldChar w:fldCharType="separate"/>
      </w:r>
      <w:r w:rsidR="00FA56AB">
        <w:rPr>
          <w:noProof/>
        </w:rPr>
        <w:t>29</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7:  Tennessee Centennial Exposition, Nashville, Tennessee, 1897</w:t>
      </w:r>
      <w:r>
        <w:rPr>
          <w:noProof/>
        </w:rPr>
        <w:tab/>
      </w:r>
      <w:r>
        <w:rPr>
          <w:noProof/>
        </w:rPr>
        <w:fldChar w:fldCharType="begin"/>
      </w:r>
      <w:r>
        <w:rPr>
          <w:noProof/>
        </w:rPr>
        <w:instrText xml:space="preserve"> PAGEREF _Toc468648999 \h </w:instrText>
      </w:r>
      <w:r>
        <w:rPr>
          <w:noProof/>
        </w:rPr>
      </w:r>
      <w:r>
        <w:rPr>
          <w:noProof/>
        </w:rPr>
        <w:fldChar w:fldCharType="separate"/>
      </w:r>
      <w:r w:rsidR="00FA56AB">
        <w:rPr>
          <w:noProof/>
        </w:rPr>
        <w:t>31</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2</w:t>
      </w:r>
      <w:r>
        <w:rPr>
          <w:noProof/>
        </w:rPr>
        <w:noBreakHyphen/>
        <w:t>8: Electric Effect by Moonlight</w:t>
      </w:r>
      <w:r>
        <w:rPr>
          <w:noProof/>
        </w:rPr>
        <w:tab/>
      </w:r>
      <w:r>
        <w:rPr>
          <w:noProof/>
        </w:rPr>
        <w:fldChar w:fldCharType="begin"/>
      </w:r>
      <w:r>
        <w:rPr>
          <w:noProof/>
        </w:rPr>
        <w:instrText xml:space="preserve"> PAGEREF _Toc468649000 \h </w:instrText>
      </w:r>
      <w:r>
        <w:rPr>
          <w:noProof/>
        </w:rPr>
      </w:r>
      <w:r>
        <w:rPr>
          <w:noProof/>
        </w:rPr>
        <w:fldChar w:fldCharType="separate"/>
      </w:r>
      <w:r w:rsidR="00FA56AB">
        <w:rPr>
          <w:noProof/>
        </w:rPr>
        <w:t>36</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2: 2016 Map of the Akropolis</w:t>
      </w:r>
      <w:r>
        <w:rPr>
          <w:noProof/>
        </w:rPr>
        <w:tab/>
      </w:r>
      <w:r>
        <w:rPr>
          <w:noProof/>
        </w:rPr>
        <w:fldChar w:fldCharType="begin"/>
      </w:r>
      <w:r>
        <w:rPr>
          <w:noProof/>
        </w:rPr>
        <w:instrText xml:space="preserve"> PAGEREF _Toc468649001 \h </w:instrText>
      </w:r>
      <w:r>
        <w:rPr>
          <w:noProof/>
        </w:rPr>
      </w:r>
      <w:r>
        <w:rPr>
          <w:noProof/>
        </w:rPr>
        <w:fldChar w:fldCharType="separate"/>
      </w:r>
      <w:r w:rsidR="00FA56AB">
        <w:rPr>
          <w:noProof/>
        </w:rPr>
        <w:t>46</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1: Map of the Akropolis of Athens in Socrates and Plato’s Time</w:t>
      </w:r>
      <w:r>
        <w:rPr>
          <w:noProof/>
        </w:rPr>
        <w:tab/>
      </w:r>
      <w:r>
        <w:rPr>
          <w:noProof/>
        </w:rPr>
        <w:fldChar w:fldCharType="begin"/>
      </w:r>
      <w:r>
        <w:rPr>
          <w:noProof/>
        </w:rPr>
        <w:instrText xml:space="preserve"> PAGEREF _Toc468649002 \h </w:instrText>
      </w:r>
      <w:r>
        <w:rPr>
          <w:noProof/>
        </w:rPr>
      </w:r>
      <w:r>
        <w:rPr>
          <w:noProof/>
        </w:rPr>
        <w:fldChar w:fldCharType="separate"/>
      </w:r>
      <w:r w:rsidR="00FA56AB">
        <w:rPr>
          <w:noProof/>
        </w:rPr>
        <w:t>46</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3: East Side of the Temple of Athena Nike</w:t>
      </w:r>
      <w:r>
        <w:rPr>
          <w:noProof/>
        </w:rPr>
        <w:tab/>
      </w:r>
      <w:r>
        <w:rPr>
          <w:noProof/>
        </w:rPr>
        <w:fldChar w:fldCharType="begin"/>
      </w:r>
      <w:r>
        <w:rPr>
          <w:noProof/>
        </w:rPr>
        <w:instrText xml:space="preserve"> PAGEREF _Toc468649003 \h </w:instrText>
      </w:r>
      <w:r>
        <w:rPr>
          <w:noProof/>
        </w:rPr>
      </w:r>
      <w:r>
        <w:rPr>
          <w:noProof/>
        </w:rPr>
        <w:fldChar w:fldCharType="separate"/>
      </w:r>
      <w:r w:rsidR="00FA56AB">
        <w:rPr>
          <w:noProof/>
        </w:rPr>
        <w:t>47</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4: West Side of the Propylaea</w:t>
      </w:r>
      <w:r>
        <w:rPr>
          <w:noProof/>
        </w:rPr>
        <w:tab/>
      </w:r>
      <w:r>
        <w:rPr>
          <w:noProof/>
        </w:rPr>
        <w:fldChar w:fldCharType="begin"/>
      </w:r>
      <w:r>
        <w:rPr>
          <w:noProof/>
        </w:rPr>
        <w:instrText xml:space="preserve"> PAGEREF _Toc468649004 \h </w:instrText>
      </w:r>
      <w:r>
        <w:rPr>
          <w:noProof/>
        </w:rPr>
      </w:r>
      <w:r>
        <w:rPr>
          <w:noProof/>
        </w:rPr>
        <w:fldChar w:fldCharType="separate"/>
      </w:r>
      <w:r w:rsidR="00FA56AB">
        <w:rPr>
          <w:noProof/>
        </w:rPr>
        <w:t>47</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5: The Eastern Entrance to the Parthenon</w:t>
      </w:r>
      <w:r>
        <w:rPr>
          <w:noProof/>
        </w:rPr>
        <w:tab/>
      </w:r>
      <w:r>
        <w:rPr>
          <w:noProof/>
        </w:rPr>
        <w:fldChar w:fldCharType="begin"/>
      </w:r>
      <w:r>
        <w:rPr>
          <w:noProof/>
        </w:rPr>
        <w:instrText xml:space="preserve"> PAGEREF _Toc468649005 \h </w:instrText>
      </w:r>
      <w:r>
        <w:rPr>
          <w:noProof/>
        </w:rPr>
      </w:r>
      <w:r>
        <w:rPr>
          <w:noProof/>
        </w:rPr>
        <w:fldChar w:fldCharType="separate"/>
      </w:r>
      <w:r w:rsidR="00FA56AB">
        <w:rPr>
          <w:noProof/>
        </w:rPr>
        <w:t>49</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6: Western Portico of the Parthenon</w:t>
      </w:r>
      <w:r>
        <w:rPr>
          <w:noProof/>
        </w:rPr>
        <w:tab/>
      </w:r>
      <w:r>
        <w:rPr>
          <w:noProof/>
        </w:rPr>
        <w:fldChar w:fldCharType="begin"/>
      </w:r>
      <w:r>
        <w:rPr>
          <w:noProof/>
        </w:rPr>
        <w:instrText xml:space="preserve"> PAGEREF _Toc468649006 \h </w:instrText>
      </w:r>
      <w:r>
        <w:rPr>
          <w:noProof/>
        </w:rPr>
      </w:r>
      <w:r>
        <w:rPr>
          <w:noProof/>
        </w:rPr>
        <w:fldChar w:fldCharType="separate"/>
      </w:r>
      <w:r w:rsidR="00FA56AB">
        <w:rPr>
          <w:noProof/>
        </w:rPr>
        <w:t>50</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3</w:t>
      </w:r>
      <w:r>
        <w:rPr>
          <w:noProof/>
        </w:rPr>
        <w:noBreakHyphen/>
        <w:t>7: The Caryatids of the Erechtheion</w:t>
      </w:r>
      <w:r>
        <w:rPr>
          <w:noProof/>
        </w:rPr>
        <w:tab/>
      </w:r>
      <w:r>
        <w:rPr>
          <w:noProof/>
        </w:rPr>
        <w:fldChar w:fldCharType="begin"/>
      </w:r>
      <w:r>
        <w:rPr>
          <w:noProof/>
        </w:rPr>
        <w:instrText xml:space="preserve"> PAGEREF _Toc468649007 \h </w:instrText>
      </w:r>
      <w:r>
        <w:rPr>
          <w:noProof/>
        </w:rPr>
      </w:r>
      <w:r>
        <w:rPr>
          <w:noProof/>
        </w:rPr>
        <w:fldChar w:fldCharType="separate"/>
      </w:r>
      <w:r w:rsidR="00FA56AB">
        <w:rPr>
          <w:noProof/>
        </w:rPr>
        <w:t>55</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4</w:t>
      </w:r>
      <w:r>
        <w:rPr>
          <w:noProof/>
        </w:rPr>
        <w:noBreakHyphen/>
        <w:t>1: John W. Thomas to Hon. J. M. Head. –  November 4, 1987</w:t>
      </w:r>
      <w:r>
        <w:rPr>
          <w:noProof/>
        </w:rPr>
        <w:tab/>
      </w:r>
      <w:r>
        <w:rPr>
          <w:noProof/>
        </w:rPr>
        <w:fldChar w:fldCharType="begin"/>
      </w:r>
      <w:r>
        <w:rPr>
          <w:noProof/>
        </w:rPr>
        <w:instrText xml:space="preserve"> PAGEREF _Toc468649008 \h </w:instrText>
      </w:r>
      <w:r>
        <w:rPr>
          <w:noProof/>
        </w:rPr>
      </w:r>
      <w:r>
        <w:rPr>
          <w:noProof/>
        </w:rPr>
        <w:fldChar w:fldCharType="separate"/>
      </w:r>
      <w:r w:rsidR="00FA56AB">
        <w:rPr>
          <w:noProof/>
        </w:rPr>
        <w:t>59</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4</w:t>
      </w:r>
      <w:r>
        <w:rPr>
          <w:noProof/>
        </w:rPr>
        <w:noBreakHyphen/>
        <w:t>2: E. C. Lewis to Maj. John W. Thomas, President – October 13, 1898</w:t>
      </w:r>
      <w:r>
        <w:rPr>
          <w:noProof/>
        </w:rPr>
        <w:tab/>
      </w:r>
      <w:r>
        <w:rPr>
          <w:noProof/>
        </w:rPr>
        <w:fldChar w:fldCharType="begin"/>
      </w:r>
      <w:r>
        <w:rPr>
          <w:noProof/>
        </w:rPr>
        <w:instrText xml:space="preserve"> PAGEREF _Toc468649009 \h </w:instrText>
      </w:r>
      <w:r>
        <w:rPr>
          <w:noProof/>
        </w:rPr>
      </w:r>
      <w:r>
        <w:rPr>
          <w:noProof/>
        </w:rPr>
        <w:fldChar w:fldCharType="separate"/>
      </w:r>
      <w:r w:rsidR="00FA56AB">
        <w:rPr>
          <w:noProof/>
        </w:rPr>
        <w:t>60</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4</w:t>
      </w:r>
      <w:r>
        <w:rPr>
          <w:noProof/>
        </w:rPr>
        <w:noBreakHyphen/>
        <w:t>3: Nativity Scene at Centennial Park, Nashville, Tennessee 1953</w:t>
      </w:r>
      <w:r>
        <w:rPr>
          <w:noProof/>
        </w:rPr>
        <w:tab/>
      </w:r>
      <w:r>
        <w:rPr>
          <w:noProof/>
        </w:rPr>
        <w:fldChar w:fldCharType="begin"/>
      </w:r>
      <w:r>
        <w:rPr>
          <w:noProof/>
        </w:rPr>
        <w:instrText xml:space="preserve"> PAGEREF _Toc468649010 \h </w:instrText>
      </w:r>
      <w:r>
        <w:rPr>
          <w:noProof/>
        </w:rPr>
      </w:r>
      <w:r>
        <w:rPr>
          <w:noProof/>
        </w:rPr>
        <w:fldChar w:fldCharType="separate"/>
      </w:r>
      <w:r w:rsidR="00FA56AB">
        <w:rPr>
          <w:noProof/>
        </w:rPr>
        <w:t>78</w:t>
      </w:r>
      <w:r>
        <w:rPr>
          <w:noProof/>
        </w:rPr>
        <w:fldChar w:fldCharType="end"/>
      </w:r>
    </w:p>
    <w:p w:rsidR="00B158C0" w:rsidRDefault="00B158C0">
      <w:pPr>
        <w:pStyle w:val="TableofFigures"/>
        <w:tabs>
          <w:tab w:val="right" w:leader="dot" w:pos="8630"/>
        </w:tabs>
        <w:rPr>
          <w:rFonts w:eastAsiaTheme="minorEastAsia"/>
          <w:noProof/>
          <w:sz w:val="22"/>
        </w:rPr>
      </w:pPr>
      <w:r>
        <w:rPr>
          <w:noProof/>
        </w:rPr>
        <w:t>Figure 4</w:t>
      </w:r>
      <w:r>
        <w:rPr>
          <w:noProof/>
        </w:rPr>
        <w:noBreakHyphen/>
        <w:t>4: Future Master Plan for the Parthenon and Centennial Park</w:t>
      </w:r>
      <w:r>
        <w:rPr>
          <w:noProof/>
        </w:rPr>
        <w:tab/>
      </w:r>
      <w:r>
        <w:rPr>
          <w:noProof/>
        </w:rPr>
        <w:fldChar w:fldCharType="begin"/>
      </w:r>
      <w:r>
        <w:rPr>
          <w:noProof/>
        </w:rPr>
        <w:instrText xml:space="preserve"> PAGEREF _Toc468649011 \h </w:instrText>
      </w:r>
      <w:r>
        <w:rPr>
          <w:noProof/>
        </w:rPr>
      </w:r>
      <w:r>
        <w:rPr>
          <w:noProof/>
        </w:rPr>
        <w:fldChar w:fldCharType="separate"/>
      </w:r>
      <w:r w:rsidR="00FA56AB">
        <w:rPr>
          <w:noProof/>
        </w:rPr>
        <w:t>84</w:t>
      </w:r>
      <w:r>
        <w:rPr>
          <w:noProof/>
        </w:rPr>
        <w:fldChar w:fldCharType="end"/>
      </w:r>
    </w:p>
    <w:p w:rsidR="00021311" w:rsidRDefault="0019045D" w:rsidP="00021311">
      <w:pPr>
        <w:pStyle w:val="Heading1"/>
        <w:spacing w:line="240" w:lineRule="auto"/>
        <w:contextualSpacing/>
        <w:rPr>
          <w:i/>
        </w:rPr>
      </w:pPr>
      <w:r w:rsidRPr="00DF37C1">
        <w:rPr>
          <w:rFonts w:asciiTheme="minorHAnsi" w:eastAsiaTheme="minorHAnsi" w:hAnsiTheme="minorHAnsi" w:cstheme="minorBidi"/>
          <w:b w:val="0"/>
          <w:bCs w:val="0"/>
          <w:color w:val="auto"/>
          <w:sz w:val="20"/>
          <w:szCs w:val="22"/>
        </w:rPr>
        <w:lastRenderedPageBreak/>
        <w:fldChar w:fldCharType="end"/>
      </w:r>
      <w:bookmarkStart w:id="1" w:name="_Toc468630817"/>
    </w:p>
    <w:p w:rsidR="009D702D" w:rsidRPr="00DB12BE" w:rsidRDefault="00DB12BE" w:rsidP="00021311">
      <w:pPr>
        <w:pStyle w:val="Heading1"/>
        <w:spacing w:line="240" w:lineRule="auto"/>
        <w:contextualSpacing/>
        <w:jc w:val="center"/>
        <w:rPr>
          <w:i/>
        </w:rPr>
      </w:pPr>
      <w:r w:rsidRPr="00DB12BE">
        <w:rPr>
          <w:i/>
        </w:rPr>
        <w:t>Acknowledgements</w:t>
      </w:r>
      <w:bookmarkEnd w:id="1"/>
    </w:p>
    <w:p w:rsidR="004E0130" w:rsidRDefault="004E0130" w:rsidP="009D702D"/>
    <w:p w:rsidR="004E0130" w:rsidRPr="007F1130" w:rsidRDefault="00F71869" w:rsidP="007F1130">
      <w:pPr>
        <w:spacing w:line="480" w:lineRule="auto"/>
        <w:ind w:firstLine="720"/>
        <w:contextualSpacing/>
        <w:rPr>
          <w:sz w:val="24"/>
        </w:rPr>
      </w:pPr>
      <w:r w:rsidRPr="00483884">
        <w:rPr>
          <w:sz w:val="24"/>
        </w:rPr>
        <w:t xml:space="preserve">This thesis has been extremely fun to research and write. Many thanks are </w:t>
      </w:r>
      <w:r w:rsidR="00483884">
        <w:rPr>
          <w:sz w:val="24"/>
        </w:rPr>
        <w:t>in order</w:t>
      </w:r>
      <w:r w:rsidRPr="00483884">
        <w:rPr>
          <w:sz w:val="24"/>
        </w:rPr>
        <w:t xml:space="preserve"> </w:t>
      </w:r>
      <w:r w:rsidR="00483884">
        <w:rPr>
          <w:sz w:val="24"/>
        </w:rPr>
        <w:t xml:space="preserve">for </w:t>
      </w:r>
      <w:r w:rsidR="00842E33" w:rsidRPr="00483884">
        <w:rPr>
          <w:sz w:val="24"/>
        </w:rPr>
        <w:t xml:space="preserve">those who helped make this important research </w:t>
      </w:r>
      <w:r w:rsidR="00483884">
        <w:rPr>
          <w:sz w:val="24"/>
        </w:rPr>
        <w:t xml:space="preserve">such a </w:t>
      </w:r>
      <w:r w:rsidR="00842E33" w:rsidRPr="00483884">
        <w:rPr>
          <w:sz w:val="24"/>
        </w:rPr>
        <w:t xml:space="preserve">pleasurable journey. </w:t>
      </w:r>
      <w:proofErr w:type="gramStart"/>
      <w:r w:rsidR="00842E33" w:rsidRPr="00483884">
        <w:rPr>
          <w:sz w:val="24"/>
        </w:rPr>
        <w:t>I</w:t>
      </w:r>
      <w:proofErr w:type="gramEnd"/>
      <w:r w:rsidR="00842E33" w:rsidRPr="00483884">
        <w:rPr>
          <w:sz w:val="24"/>
        </w:rPr>
        <w:t xml:space="preserve"> would like to thank Dawn McCormack for our </w:t>
      </w:r>
      <w:r w:rsidR="00FE5E28" w:rsidRPr="00483884">
        <w:rPr>
          <w:sz w:val="24"/>
        </w:rPr>
        <w:t>engaging talks and humor while finding the horizon of this research</w:t>
      </w:r>
      <w:r w:rsidR="003C7BB9">
        <w:rPr>
          <w:sz w:val="24"/>
        </w:rPr>
        <w:t xml:space="preserve"> at every turn</w:t>
      </w:r>
      <w:r w:rsidR="00FE5E28" w:rsidRPr="00483884">
        <w:rPr>
          <w:sz w:val="24"/>
        </w:rPr>
        <w:t xml:space="preserve">. </w:t>
      </w:r>
      <w:proofErr w:type="gramStart"/>
      <w:r w:rsidR="005D61C2" w:rsidRPr="00483884">
        <w:rPr>
          <w:sz w:val="24"/>
        </w:rPr>
        <w:t>Also</w:t>
      </w:r>
      <w:proofErr w:type="gramEnd"/>
      <w:r w:rsidR="005D61C2" w:rsidRPr="00483884">
        <w:rPr>
          <w:sz w:val="24"/>
        </w:rPr>
        <w:t xml:space="preserve">, I would like to thank </w:t>
      </w:r>
      <w:r w:rsidR="0068582C" w:rsidRPr="00483884">
        <w:rPr>
          <w:sz w:val="24"/>
        </w:rPr>
        <w:t>the other members of my thesis advisory board</w:t>
      </w:r>
      <w:r w:rsidR="003C7BB9">
        <w:rPr>
          <w:sz w:val="24"/>
        </w:rPr>
        <w:t>. Much unique experience and guidance has come from</w:t>
      </w:r>
      <w:r w:rsidR="0068582C" w:rsidRPr="00483884">
        <w:rPr>
          <w:sz w:val="24"/>
        </w:rPr>
        <w:t xml:space="preserve"> </w:t>
      </w:r>
      <w:r w:rsidR="00B87496" w:rsidRPr="00483884">
        <w:rPr>
          <w:sz w:val="24"/>
        </w:rPr>
        <w:t>Angela Hague</w:t>
      </w:r>
      <w:r w:rsidR="0068582C" w:rsidRPr="00483884">
        <w:rPr>
          <w:sz w:val="24"/>
        </w:rPr>
        <w:t xml:space="preserve">, Ken </w:t>
      </w:r>
      <w:proofErr w:type="spellStart"/>
      <w:r w:rsidR="0068582C" w:rsidRPr="00483884">
        <w:rPr>
          <w:sz w:val="24"/>
        </w:rPr>
        <w:t>Fieth</w:t>
      </w:r>
      <w:proofErr w:type="spellEnd"/>
      <w:r w:rsidR="0068582C" w:rsidRPr="00483884">
        <w:rPr>
          <w:sz w:val="24"/>
        </w:rPr>
        <w:t>, Heather Adkins, Alan Boehm,</w:t>
      </w:r>
      <w:r w:rsidR="00FE5E28" w:rsidRPr="00483884">
        <w:rPr>
          <w:sz w:val="24"/>
        </w:rPr>
        <w:t xml:space="preserve"> </w:t>
      </w:r>
      <w:r w:rsidR="000A33EE" w:rsidRPr="00483884">
        <w:rPr>
          <w:sz w:val="24"/>
        </w:rPr>
        <w:t xml:space="preserve">Wesley Paine, Susan Shockley, Mark </w:t>
      </w:r>
      <w:r w:rsidR="00B87496" w:rsidRPr="00483884">
        <w:rPr>
          <w:sz w:val="24"/>
        </w:rPr>
        <w:t xml:space="preserve">Medley, Barbara </w:t>
      </w:r>
      <w:proofErr w:type="spellStart"/>
      <w:r w:rsidR="00B87496" w:rsidRPr="00483884">
        <w:rPr>
          <w:sz w:val="24"/>
        </w:rPr>
        <w:t>Tsakirgis</w:t>
      </w:r>
      <w:proofErr w:type="spellEnd"/>
      <w:r w:rsidR="00B87496" w:rsidRPr="00483884">
        <w:rPr>
          <w:sz w:val="24"/>
        </w:rPr>
        <w:t xml:space="preserve">, and </w:t>
      </w:r>
      <w:r w:rsidR="0040509F" w:rsidRPr="00483884">
        <w:rPr>
          <w:sz w:val="24"/>
        </w:rPr>
        <w:t xml:space="preserve">all those who have preserved Middle Tennessee’s culture and history. </w:t>
      </w:r>
      <w:proofErr w:type="gramStart"/>
      <w:r w:rsidR="00FE5E28" w:rsidRPr="00483884">
        <w:rPr>
          <w:sz w:val="24"/>
        </w:rPr>
        <w:t>I</w:t>
      </w:r>
      <w:proofErr w:type="gramEnd"/>
      <w:r w:rsidR="00FE5E28" w:rsidRPr="00483884">
        <w:rPr>
          <w:sz w:val="24"/>
        </w:rPr>
        <w:t xml:space="preserve"> would also like to thank Middle Tennessee State University and the University Honors College by presenting me with so many enriching opportunities throughout my undergraduate programs</w:t>
      </w:r>
      <w:r w:rsidR="003C7BB9">
        <w:rPr>
          <w:sz w:val="24"/>
        </w:rPr>
        <w:t>,</w:t>
      </w:r>
      <w:r w:rsidR="00012D31" w:rsidRPr="00483884">
        <w:rPr>
          <w:sz w:val="24"/>
        </w:rPr>
        <w:t xml:space="preserve"> such as this thesis. </w:t>
      </w:r>
      <w:proofErr w:type="gramStart"/>
      <w:r w:rsidR="00012D31" w:rsidRPr="00483884">
        <w:rPr>
          <w:sz w:val="24"/>
        </w:rPr>
        <w:t>I</w:t>
      </w:r>
      <w:proofErr w:type="gramEnd"/>
      <w:r w:rsidR="00012D31" w:rsidRPr="00483884">
        <w:rPr>
          <w:sz w:val="24"/>
        </w:rPr>
        <w:t xml:space="preserve"> would like to thank the Albert Gore Research Center, the James E. Walker Library’s Special Collections, the Metro Archives, the Tennessee State Library and Archives, </w:t>
      </w:r>
      <w:r w:rsidR="00C22C6C">
        <w:rPr>
          <w:sz w:val="24"/>
        </w:rPr>
        <w:t xml:space="preserve">the Library of Congress, </w:t>
      </w:r>
      <w:r w:rsidR="005D2031" w:rsidRPr="00483884">
        <w:rPr>
          <w:sz w:val="24"/>
        </w:rPr>
        <w:t xml:space="preserve">Metro Parks and Recreation, </w:t>
      </w:r>
      <w:r w:rsidR="00012D31" w:rsidRPr="00483884">
        <w:rPr>
          <w:sz w:val="24"/>
        </w:rPr>
        <w:t xml:space="preserve">and </w:t>
      </w:r>
      <w:r w:rsidR="003C7BB9">
        <w:rPr>
          <w:sz w:val="24"/>
        </w:rPr>
        <w:t xml:space="preserve">the </w:t>
      </w:r>
      <w:r w:rsidR="005D2031" w:rsidRPr="00483884">
        <w:rPr>
          <w:sz w:val="24"/>
        </w:rPr>
        <w:t>Nashville Parthenon for their generous assistance, expertise, and resources</w:t>
      </w:r>
      <w:r w:rsidR="0040509F" w:rsidRPr="00483884">
        <w:rPr>
          <w:sz w:val="24"/>
        </w:rPr>
        <w:t xml:space="preserve"> throughout my research</w:t>
      </w:r>
      <w:r w:rsidR="005D2031" w:rsidRPr="00483884">
        <w:rPr>
          <w:sz w:val="24"/>
        </w:rPr>
        <w:t xml:space="preserve">. </w:t>
      </w:r>
      <w:r w:rsidR="00222E22" w:rsidRPr="00483884">
        <w:rPr>
          <w:sz w:val="24"/>
        </w:rPr>
        <w:t xml:space="preserve">Finally, a special thanks – </w:t>
      </w:r>
      <w:r w:rsidR="005D61C2" w:rsidRPr="00483884">
        <w:rPr>
          <w:sz w:val="24"/>
        </w:rPr>
        <w:t>without the strength of God, this thesis could not have been possible</w:t>
      </w:r>
      <w:r w:rsidR="00222E22" w:rsidRPr="00483884">
        <w:rPr>
          <w:sz w:val="24"/>
        </w:rPr>
        <w:t>;</w:t>
      </w:r>
      <w:r w:rsidR="005D61C2" w:rsidRPr="00483884">
        <w:rPr>
          <w:sz w:val="24"/>
        </w:rPr>
        <w:t xml:space="preserve"> to God </w:t>
      </w:r>
      <w:r w:rsidR="00222E22" w:rsidRPr="00483884">
        <w:rPr>
          <w:sz w:val="24"/>
        </w:rPr>
        <w:t>be the glory</w:t>
      </w:r>
      <w:r w:rsidR="005D61C2" w:rsidRPr="00483884">
        <w:rPr>
          <w:sz w:val="24"/>
        </w:rPr>
        <w:t xml:space="preserve">. </w:t>
      </w:r>
    </w:p>
    <w:p w:rsidR="001D2024" w:rsidRPr="001D2024" w:rsidRDefault="00311AAD" w:rsidP="001D2024">
      <w:pPr>
        <w:pStyle w:val="Heading1"/>
        <w:spacing w:line="480" w:lineRule="auto"/>
        <w:contextualSpacing/>
        <w:jc w:val="center"/>
        <w:rPr>
          <w:i/>
        </w:rPr>
      </w:pPr>
      <w:bookmarkStart w:id="2" w:name="_Toc468630818"/>
      <w:r w:rsidRPr="00604604">
        <w:rPr>
          <w:i/>
        </w:rPr>
        <w:lastRenderedPageBreak/>
        <w:t>Introduction</w:t>
      </w:r>
      <w:bookmarkEnd w:id="2"/>
    </w:p>
    <w:p w:rsidR="00DB7883" w:rsidRDefault="00234092" w:rsidP="001D2024">
      <w:pPr>
        <w:spacing w:line="480" w:lineRule="auto"/>
        <w:ind w:firstLine="720"/>
        <w:contextualSpacing/>
        <w:rPr>
          <w:sz w:val="24"/>
        </w:rPr>
      </w:pPr>
      <w:r>
        <w:rPr>
          <w:sz w:val="24"/>
        </w:rPr>
        <w:t>After laboring for many years, they completed a masterpiece</w:t>
      </w:r>
      <w:r w:rsidR="00BA7DE2">
        <w:rPr>
          <w:sz w:val="24"/>
        </w:rPr>
        <w:t>.</w:t>
      </w:r>
      <w:r>
        <w:rPr>
          <w:sz w:val="24"/>
        </w:rPr>
        <w:t xml:space="preserve"> </w:t>
      </w:r>
      <w:r w:rsidR="00BA7DE2">
        <w:rPr>
          <w:sz w:val="24"/>
        </w:rPr>
        <w:t>It</w:t>
      </w:r>
      <w:r>
        <w:rPr>
          <w:sz w:val="24"/>
        </w:rPr>
        <w:t xml:space="preserve"> was </w:t>
      </w:r>
      <w:r w:rsidR="00BA7DE2">
        <w:rPr>
          <w:sz w:val="24"/>
        </w:rPr>
        <w:t>“bui</w:t>
      </w:r>
      <w:r w:rsidR="00CA4F1D">
        <w:rPr>
          <w:sz w:val="24"/>
        </w:rPr>
        <w:t>lt in a short time for all time.”</w:t>
      </w:r>
      <w:r w:rsidR="00CA4F1D">
        <w:rPr>
          <w:rStyle w:val="FootnoteReference"/>
          <w:sz w:val="24"/>
        </w:rPr>
        <w:footnoteReference w:id="1"/>
      </w:r>
      <w:r w:rsidR="00BA7DE2">
        <w:rPr>
          <w:sz w:val="24"/>
        </w:rPr>
        <w:t xml:space="preserve"> It was to b</w:t>
      </w:r>
      <w:r w:rsidR="00DA6445">
        <w:rPr>
          <w:sz w:val="24"/>
        </w:rPr>
        <w:t xml:space="preserve">ecome a symbol of the future’s reflection on the past. </w:t>
      </w:r>
      <w:proofErr w:type="gramStart"/>
      <w:r w:rsidR="00DA6445">
        <w:rPr>
          <w:sz w:val="24"/>
        </w:rPr>
        <w:t xml:space="preserve">It is the temple </w:t>
      </w:r>
      <w:r w:rsidR="00DA6445" w:rsidRPr="00FB2A57">
        <w:rPr>
          <w:sz w:val="24"/>
        </w:rPr>
        <w:t>that</w:t>
      </w:r>
      <w:proofErr w:type="gramEnd"/>
      <w:r w:rsidR="00DA6445" w:rsidRPr="00FB2A57">
        <w:rPr>
          <w:sz w:val="24"/>
        </w:rPr>
        <w:t xml:space="preserve"> </w:t>
      </w:r>
      <w:r w:rsidR="00FB2A57">
        <w:rPr>
          <w:sz w:val="24"/>
        </w:rPr>
        <w:t xml:space="preserve">became known as </w:t>
      </w:r>
      <w:r w:rsidR="00BE0423">
        <w:rPr>
          <w:sz w:val="24"/>
        </w:rPr>
        <w:t xml:space="preserve">the </w:t>
      </w:r>
      <w:r w:rsidR="00FB2A57" w:rsidRPr="00FB2A57">
        <w:rPr>
          <w:rFonts w:cs="Times New Roman"/>
          <w:i/>
          <w:sz w:val="24"/>
          <w:szCs w:val="24"/>
        </w:rPr>
        <w:t>πα</w:t>
      </w:r>
      <w:proofErr w:type="spellStart"/>
      <w:r w:rsidR="00FB2A57" w:rsidRPr="00FB2A57">
        <w:rPr>
          <w:rFonts w:cs="Times New Roman"/>
          <w:i/>
          <w:sz w:val="24"/>
          <w:szCs w:val="24"/>
        </w:rPr>
        <w:t>ρθενών</w:t>
      </w:r>
      <w:proofErr w:type="spellEnd"/>
      <w:r w:rsidR="00FB2A57" w:rsidRPr="00FB2A57">
        <w:rPr>
          <w:sz w:val="24"/>
        </w:rPr>
        <w:t xml:space="preserve"> </w:t>
      </w:r>
      <w:r w:rsidR="00FB2A57">
        <w:rPr>
          <w:sz w:val="24"/>
        </w:rPr>
        <w:t xml:space="preserve">(the </w:t>
      </w:r>
      <w:r w:rsidR="00DA6445" w:rsidRPr="00FB2A57">
        <w:rPr>
          <w:sz w:val="24"/>
        </w:rPr>
        <w:t>Parthenon</w:t>
      </w:r>
      <w:r w:rsidR="00FB2A57">
        <w:rPr>
          <w:sz w:val="24"/>
        </w:rPr>
        <w:t>)</w:t>
      </w:r>
      <w:r w:rsidR="00DA6445">
        <w:rPr>
          <w:sz w:val="24"/>
        </w:rPr>
        <w:t xml:space="preserve">. </w:t>
      </w:r>
    </w:p>
    <w:p w:rsidR="006F1FE2" w:rsidRDefault="006F1FE2" w:rsidP="00481D2A">
      <w:pPr>
        <w:suppressLineNumbers/>
        <w:spacing w:line="480" w:lineRule="auto"/>
        <w:ind w:firstLine="720"/>
        <w:contextualSpacing/>
        <w:rPr>
          <w:rFonts w:cs="Times New Roman"/>
          <w:sz w:val="24"/>
          <w:szCs w:val="24"/>
        </w:rPr>
      </w:pPr>
      <w:r>
        <w:rPr>
          <w:sz w:val="24"/>
        </w:rPr>
        <w:t>Throughout many years</w:t>
      </w:r>
      <w:r w:rsidR="00481D2A">
        <w:rPr>
          <w:sz w:val="24"/>
        </w:rPr>
        <w:t>,</w:t>
      </w:r>
      <w:r>
        <w:rPr>
          <w:sz w:val="24"/>
        </w:rPr>
        <w:t xml:space="preserve"> the </w:t>
      </w:r>
      <w:r w:rsidR="008565A5">
        <w:rPr>
          <w:sz w:val="24"/>
        </w:rPr>
        <w:t xml:space="preserve">Parthenon, the temple of Athena, </w:t>
      </w:r>
      <w:r>
        <w:rPr>
          <w:sz w:val="24"/>
        </w:rPr>
        <w:t>has been man</w:t>
      </w:r>
      <w:r w:rsidR="00E51108">
        <w:rPr>
          <w:sz w:val="24"/>
        </w:rPr>
        <w:t xml:space="preserve">y things to many people, but most significantly, it </w:t>
      </w:r>
      <w:r w:rsidR="00A50A75">
        <w:rPr>
          <w:sz w:val="24"/>
        </w:rPr>
        <w:t>has become</w:t>
      </w:r>
      <w:r w:rsidR="00E51108">
        <w:rPr>
          <w:sz w:val="24"/>
        </w:rPr>
        <w:t xml:space="preserve"> prima</w:t>
      </w:r>
      <w:r w:rsidR="00481D2A">
        <w:rPr>
          <w:sz w:val="24"/>
        </w:rPr>
        <w:t xml:space="preserve">rily a symbol of </w:t>
      </w:r>
      <w:r w:rsidR="00A50A75">
        <w:rPr>
          <w:sz w:val="24"/>
        </w:rPr>
        <w:t xml:space="preserve">the cultural height of </w:t>
      </w:r>
      <w:r w:rsidR="00481D2A">
        <w:rPr>
          <w:sz w:val="24"/>
        </w:rPr>
        <w:t>Ancient Greece, especially for the Western World</w:t>
      </w:r>
      <w:r w:rsidR="00E51108">
        <w:rPr>
          <w:sz w:val="24"/>
        </w:rPr>
        <w:t xml:space="preserve">. </w:t>
      </w:r>
      <w:r w:rsidR="00481D2A">
        <w:rPr>
          <w:rFonts w:cs="Times New Roman"/>
          <w:sz w:val="24"/>
          <w:szCs w:val="24"/>
        </w:rPr>
        <w:t>Modern</w:t>
      </w:r>
      <w:r w:rsidR="00481D2A" w:rsidRPr="00481D2A">
        <w:rPr>
          <w:rFonts w:cs="Times New Roman"/>
          <w:sz w:val="24"/>
          <w:szCs w:val="24"/>
        </w:rPr>
        <w:t xml:space="preserve"> </w:t>
      </w:r>
      <w:r w:rsidR="00481D2A">
        <w:rPr>
          <w:rFonts w:cs="Times New Roman"/>
          <w:sz w:val="24"/>
          <w:szCs w:val="24"/>
        </w:rPr>
        <w:t xml:space="preserve">Western </w:t>
      </w:r>
      <w:r w:rsidR="00481D2A" w:rsidRPr="00481D2A">
        <w:rPr>
          <w:rFonts w:cs="Times New Roman"/>
          <w:sz w:val="24"/>
          <w:szCs w:val="24"/>
        </w:rPr>
        <w:t>contemporary fine arts, education, and forms of government ground themselves</w:t>
      </w:r>
      <w:r w:rsidR="00F95CBC">
        <w:rPr>
          <w:rFonts w:cs="Times New Roman"/>
          <w:sz w:val="24"/>
          <w:szCs w:val="24"/>
        </w:rPr>
        <w:t xml:space="preserve"> </w:t>
      </w:r>
      <w:r w:rsidR="00481D2A">
        <w:rPr>
          <w:rFonts w:cs="Times New Roman"/>
          <w:sz w:val="24"/>
          <w:szCs w:val="24"/>
        </w:rPr>
        <w:t xml:space="preserve">whether </w:t>
      </w:r>
      <w:r w:rsidR="008E2244">
        <w:rPr>
          <w:rFonts w:cs="Times New Roman"/>
          <w:sz w:val="24"/>
          <w:szCs w:val="24"/>
        </w:rPr>
        <w:t xml:space="preserve">in </w:t>
      </w:r>
      <w:r w:rsidR="00481D2A">
        <w:rPr>
          <w:rFonts w:cs="Times New Roman"/>
          <w:sz w:val="24"/>
          <w:szCs w:val="24"/>
        </w:rPr>
        <w:t xml:space="preserve">name or </w:t>
      </w:r>
      <w:r w:rsidR="008E2244">
        <w:rPr>
          <w:rFonts w:cs="Times New Roman"/>
          <w:sz w:val="24"/>
          <w:szCs w:val="24"/>
        </w:rPr>
        <w:t xml:space="preserve">by </w:t>
      </w:r>
      <w:r w:rsidR="00481D2A">
        <w:rPr>
          <w:rFonts w:cs="Times New Roman"/>
          <w:sz w:val="24"/>
          <w:szCs w:val="24"/>
        </w:rPr>
        <w:t>concept</w:t>
      </w:r>
      <w:r w:rsidR="00481D2A" w:rsidRPr="00481D2A">
        <w:rPr>
          <w:rFonts w:cs="Times New Roman"/>
          <w:sz w:val="24"/>
          <w:szCs w:val="24"/>
        </w:rPr>
        <w:t>, in the “Classical” soil of ancient Greece</w:t>
      </w:r>
      <w:r w:rsidR="00A83FD9">
        <w:rPr>
          <w:rFonts w:cs="Times New Roman"/>
          <w:sz w:val="24"/>
          <w:szCs w:val="24"/>
        </w:rPr>
        <w:t xml:space="preserve"> in its Golden Age</w:t>
      </w:r>
      <w:r w:rsidR="00A50A75">
        <w:rPr>
          <w:rFonts w:cs="Times New Roman"/>
          <w:sz w:val="24"/>
          <w:szCs w:val="24"/>
        </w:rPr>
        <w:t xml:space="preserve"> of</w:t>
      </w:r>
      <w:r w:rsidR="00A50A75" w:rsidRPr="00A50A75">
        <w:rPr>
          <w:sz w:val="24"/>
        </w:rPr>
        <w:t xml:space="preserve"> </w:t>
      </w:r>
      <w:r w:rsidR="00A50A75">
        <w:rPr>
          <w:sz w:val="24"/>
        </w:rPr>
        <w:t>the fifth century</w:t>
      </w:r>
      <w:r w:rsidR="00481D2A" w:rsidRPr="00481D2A">
        <w:rPr>
          <w:rFonts w:cs="Times New Roman"/>
          <w:sz w:val="24"/>
          <w:szCs w:val="24"/>
        </w:rPr>
        <w:t xml:space="preserve">. Classical civilization has been one of the most significant </w:t>
      </w:r>
      <w:r w:rsidR="00A83FD9">
        <w:rPr>
          <w:rFonts w:cs="Times New Roman"/>
          <w:sz w:val="24"/>
          <w:szCs w:val="24"/>
        </w:rPr>
        <w:t xml:space="preserve">superimposed elements </w:t>
      </w:r>
      <w:r w:rsidR="00481D2A" w:rsidRPr="00481D2A">
        <w:rPr>
          <w:rFonts w:cs="Times New Roman"/>
          <w:sz w:val="24"/>
          <w:szCs w:val="24"/>
        </w:rPr>
        <w:t xml:space="preserve">shaping </w:t>
      </w:r>
      <w:r w:rsidR="00A83FD9">
        <w:rPr>
          <w:rFonts w:cs="Times New Roman"/>
          <w:sz w:val="24"/>
          <w:szCs w:val="24"/>
        </w:rPr>
        <w:t>socialization</w:t>
      </w:r>
      <w:r w:rsidR="00481D2A" w:rsidRPr="00481D2A">
        <w:rPr>
          <w:rFonts w:cs="Times New Roman"/>
          <w:sz w:val="24"/>
          <w:szCs w:val="24"/>
        </w:rPr>
        <w:t xml:space="preserve"> in Western history</w:t>
      </w:r>
      <w:r w:rsidR="00A83FD9">
        <w:rPr>
          <w:rFonts w:cs="Times New Roman"/>
          <w:sz w:val="24"/>
          <w:szCs w:val="24"/>
        </w:rPr>
        <w:t xml:space="preserve"> and culture</w:t>
      </w:r>
      <w:r w:rsidR="00213AD5">
        <w:rPr>
          <w:rFonts w:cs="Times New Roman"/>
          <w:sz w:val="24"/>
          <w:szCs w:val="24"/>
        </w:rPr>
        <w:t xml:space="preserve"> to date</w:t>
      </w:r>
      <w:r w:rsidR="00A83FD9">
        <w:rPr>
          <w:rFonts w:cs="Times New Roman"/>
          <w:sz w:val="24"/>
          <w:szCs w:val="24"/>
        </w:rPr>
        <w:t>.</w:t>
      </w:r>
      <w:r w:rsidR="00481D2A" w:rsidRPr="00481D2A">
        <w:rPr>
          <w:rFonts w:cs="Times New Roman"/>
          <w:sz w:val="24"/>
          <w:szCs w:val="24"/>
        </w:rPr>
        <w:t xml:space="preserve"> </w:t>
      </w:r>
    </w:p>
    <w:p w:rsidR="008E2244" w:rsidRPr="00481D2A" w:rsidRDefault="008E2244" w:rsidP="00481D2A">
      <w:pPr>
        <w:suppressLineNumbers/>
        <w:spacing w:line="480" w:lineRule="auto"/>
        <w:ind w:firstLine="720"/>
        <w:contextualSpacing/>
        <w:rPr>
          <w:rFonts w:cs="Times New Roman"/>
          <w:sz w:val="24"/>
          <w:szCs w:val="24"/>
        </w:rPr>
      </w:pPr>
      <w:r>
        <w:rPr>
          <w:rFonts w:cs="Times New Roman"/>
          <w:sz w:val="24"/>
          <w:szCs w:val="24"/>
        </w:rPr>
        <w:t xml:space="preserve">Evidence of these classical social implementations </w:t>
      </w:r>
      <w:proofErr w:type="gramStart"/>
      <w:r>
        <w:rPr>
          <w:rFonts w:cs="Times New Roman"/>
          <w:sz w:val="24"/>
          <w:szCs w:val="24"/>
        </w:rPr>
        <w:t>can be found</w:t>
      </w:r>
      <w:proofErr w:type="gramEnd"/>
      <w:r>
        <w:rPr>
          <w:rFonts w:cs="Times New Roman"/>
          <w:sz w:val="24"/>
          <w:szCs w:val="24"/>
        </w:rPr>
        <w:t xml:space="preserve"> in all el</w:t>
      </w:r>
      <w:r w:rsidR="00A44CDA">
        <w:rPr>
          <w:rFonts w:cs="Times New Roman"/>
          <w:sz w:val="24"/>
          <w:szCs w:val="24"/>
        </w:rPr>
        <w:t xml:space="preserve">ements of Western socialization. </w:t>
      </w:r>
      <w:r w:rsidR="0002112E">
        <w:rPr>
          <w:rFonts w:cs="Times New Roman"/>
          <w:sz w:val="24"/>
          <w:szCs w:val="24"/>
        </w:rPr>
        <w:t xml:space="preserve">This includes the creation and development of America as it moved westward with </w:t>
      </w:r>
      <w:r w:rsidR="002B3142">
        <w:rPr>
          <w:rFonts w:cs="Times New Roman"/>
          <w:sz w:val="24"/>
          <w:szCs w:val="24"/>
        </w:rPr>
        <w:t>its culture, manifested in its practices of art, architecture, and education.</w:t>
      </w:r>
      <w:r w:rsidR="0002112E">
        <w:rPr>
          <w:rFonts w:cs="Times New Roman"/>
          <w:sz w:val="24"/>
          <w:szCs w:val="24"/>
        </w:rPr>
        <w:t xml:space="preserve"> </w:t>
      </w:r>
      <w:r w:rsidR="00A44CDA">
        <w:rPr>
          <w:rFonts w:cs="Times New Roman"/>
          <w:sz w:val="24"/>
          <w:szCs w:val="24"/>
        </w:rPr>
        <w:t xml:space="preserve">One of the largest, most prominent </w:t>
      </w:r>
      <w:r w:rsidR="00FA3B3F">
        <w:rPr>
          <w:rFonts w:cs="Times New Roman"/>
          <w:sz w:val="24"/>
          <w:szCs w:val="24"/>
        </w:rPr>
        <w:t xml:space="preserve">trans-social, cross-cultural manifestations </w:t>
      </w:r>
      <w:r w:rsidR="00A44CDA">
        <w:rPr>
          <w:rFonts w:cs="Times New Roman"/>
          <w:sz w:val="24"/>
          <w:szCs w:val="24"/>
        </w:rPr>
        <w:t xml:space="preserve">of </w:t>
      </w:r>
      <w:r w:rsidR="00FA3B3F">
        <w:rPr>
          <w:rFonts w:cs="Times New Roman"/>
          <w:sz w:val="24"/>
          <w:szCs w:val="24"/>
        </w:rPr>
        <w:t xml:space="preserve">this </w:t>
      </w:r>
      <w:r w:rsidR="00A44CDA">
        <w:rPr>
          <w:rFonts w:cs="Times New Roman"/>
          <w:sz w:val="24"/>
          <w:szCs w:val="24"/>
        </w:rPr>
        <w:t xml:space="preserve">Greek </w:t>
      </w:r>
      <w:r w:rsidR="00FA3B3F">
        <w:rPr>
          <w:rFonts w:cs="Times New Roman"/>
          <w:sz w:val="24"/>
          <w:szCs w:val="24"/>
        </w:rPr>
        <w:t xml:space="preserve">identity </w:t>
      </w:r>
      <w:r w:rsidR="00CB51DE">
        <w:rPr>
          <w:rFonts w:cs="Times New Roman"/>
          <w:sz w:val="24"/>
          <w:szCs w:val="24"/>
        </w:rPr>
        <w:t>is</w:t>
      </w:r>
      <w:r w:rsidR="00FA3B3F">
        <w:rPr>
          <w:rFonts w:cs="Times New Roman"/>
          <w:sz w:val="24"/>
          <w:szCs w:val="24"/>
        </w:rPr>
        <w:t xml:space="preserve"> the </w:t>
      </w:r>
      <w:r w:rsidR="00DE5103">
        <w:rPr>
          <w:rFonts w:cs="Times New Roman"/>
          <w:sz w:val="24"/>
          <w:szCs w:val="24"/>
        </w:rPr>
        <w:t xml:space="preserve">Parthenon located </w:t>
      </w:r>
      <w:r w:rsidR="005B1E1A">
        <w:rPr>
          <w:rFonts w:cs="Times New Roman"/>
          <w:sz w:val="24"/>
          <w:szCs w:val="24"/>
        </w:rPr>
        <w:t xml:space="preserve">within the confines of “Centennial Park” </w:t>
      </w:r>
      <w:r w:rsidR="00DE5103">
        <w:rPr>
          <w:rFonts w:cs="Times New Roman"/>
          <w:sz w:val="24"/>
          <w:szCs w:val="24"/>
        </w:rPr>
        <w:t>in Nashville, Tennessee</w:t>
      </w:r>
      <w:r w:rsidR="005B1E1A">
        <w:rPr>
          <w:rFonts w:cs="Times New Roman"/>
          <w:sz w:val="24"/>
          <w:szCs w:val="24"/>
        </w:rPr>
        <w:t xml:space="preserve">. </w:t>
      </w:r>
      <w:r w:rsidR="00DE5103">
        <w:rPr>
          <w:rFonts w:cs="Times New Roman"/>
          <w:sz w:val="24"/>
          <w:szCs w:val="24"/>
        </w:rPr>
        <w:t>In the fields of music, theater, educ</w:t>
      </w:r>
      <w:r w:rsidR="00BE098E">
        <w:rPr>
          <w:rFonts w:cs="Times New Roman"/>
          <w:sz w:val="24"/>
          <w:szCs w:val="24"/>
        </w:rPr>
        <w:t>ation, government, and science,</w:t>
      </w:r>
      <w:r w:rsidR="00DE5103">
        <w:rPr>
          <w:rFonts w:cs="Times New Roman"/>
          <w:sz w:val="24"/>
          <w:szCs w:val="24"/>
        </w:rPr>
        <w:t xml:space="preserve"> many correlations to </w:t>
      </w:r>
      <w:r w:rsidR="00213AD5">
        <w:rPr>
          <w:rFonts w:cs="Times New Roman"/>
          <w:sz w:val="24"/>
          <w:szCs w:val="24"/>
        </w:rPr>
        <w:t xml:space="preserve">the </w:t>
      </w:r>
      <w:r w:rsidR="00DE5103">
        <w:rPr>
          <w:rFonts w:cs="Times New Roman"/>
          <w:sz w:val="24"/>
          <w:szCs w:val="24"/>
        </w:rPr>
        <w:t xml:space="preserve">Golden </w:t>
      </w:r>
      <w:r w:rsidR="00213AD5">
        <w:rPr>
          <w:rFonts w:cs="Times New Roman"/>
          <w:sz w:val="24"/>
          <w:szCs w:val="24"/>
        </w:rPr>
        <w:t xml:space="preserve">Age of </w:t>
      </w:r>
      <w:r w:rsidR="00DE5103">
        <w:rPr>
          <w:rFonts w:cs="Times New Roman"/>
          <w:sz w:val="24"/>
          <w:szCs w:val="24"/>
        </w:rPr>
        <w:t xml:space="preserve">Greece exist. </w:t>
      </w:r>
      <w:proofErr w:type="gramStart"/>
      <w:r w:rsidR="00DE5103">
        <w:rPr>
          <w:rFonts w:cs="Times New Roman"/>
          <w:sz w:val="24"/>
          <w:szCs w:val="24"/>
        </w:rPr>
        <w:t>But</w:t>
      </w:r>
      <w:proofErr w:type="gramEnd"/>
      <w:r w:rsidR="00DE5103">
        <w:rPr>
          <w:rFonts w:cs="Times New Roman"/>
          <w:sz w:val="24"/>
          <w:szCs w:val="24"/>
        </w:rPr>
        <w:t xml:space="preserve"> the</w:t>
      </w:r>
      <w:r w:rsidR="00BE098E">
        <w:rPr>
          <w:rFonts w:cs="Times New Roman"/>
          <w:sz w:val="24"/>
          <w:szCs w:val="24"/>
        </w:rPr>
        <w:t xml:space="preserve"> large architectural replica of the Parthenon in Nashville, Tennessee towers above them all in size and </w:t>
      </w:r>
      <w:r w:rsidR="00213AD5">
        <w:rPr>
          <w:rFonts w:cs="Times New Roman"/>
          <w:sz w:val="24"/>
          <w:szCs w:val="24"/>
        </w:rPr>
        <w:t xml:space="preserve">cultural </w:t>
      </w:r>
      <w:r w:rsidR="00BE098E">
        <w:rPr>
          <w:rFonts w:cs="Times New Roman"/>
          <w:sz w:val="24"/>
          <w:szCs w:val="24"/>
        </w:rPr>
        <w:t xml:space="preserve">significance. </w:t>
      </w:r>
      <w:r w:rsidR="003737ED">
        <w:rPr>
          <w:rFonts w:cs="Times New Roman"/>
          <w:sz w:val="24"/>
          <w:szCs w:val="24"/>
        </w:rPr>
        <w:t xml:space="preserve">Indeed, the Nashville Parthenon can be most </w:t>
      </w:r>
      <w:r w:rsidR="003737ED">
        <w:rPr>
          <w:rFonts w:cs="Times New Roman"/>
          <w:sz w:val="24"/>
          <w:szCs w:val="24"/>
        </w:rPr>
        <w:lastRenderedPageBreak/>
        <w:t>insightful, e</w:t>
      </w:r>
      <w:r w:rsidR="00BE098E">
        <w:rPr>
          <w:rFonts w:cs="Times New Roman"/>
          <w:sz w:val="24"/>
          <w:szCs w:val="24"/>
        </w:rPr>
        <w:t>xploring modern Western civilization’s infatu</w:t>
      </w:r>
      <w:r w:rsidR="004C1AED">
        <w:rPr>
          <w:rFonts w:cs="Times New Roman"/>
          <w:sz w:val="24"/>
          <w:szCs w:val="24"/>
        </w:rPr>
        <w:t xml:space="preserve">ation </w:t>
      </w:r>
      <w:r w:rsidR="003737ED">
        <w:rPr>
          <w:rFonts w:cs="Times New Roman"/>
          <w:sz w:val="24"/>
          <w:szCs w:val="24"/>
        </w:rPr>
        <w:t>with</w:t>
      </w:r>
      <w:r w:rsidR="004C1AED">
        <w:rPr>
          <w:rFonts w:cs="Times New Roman"/>
          <w:sz w:val="24"/>
          <w:szCs w:val="24"/>
        </w:rPr>
        <w:t xml:space="preserve"> </w:t>
      </w:r>
      <w:r w:rsidR="003737ED">
        <w:rPr>
          <w:rFonts w:cs="Times New Roman"/>
          <w:sz w:val="24"/>
          <w:szCs w:val="24"/>
        </w:rPr>
        <w:t>“</w:t>
      </w:r>
      <w:r w:rsidR="004C1AED">
        <w:rPr>
          <w:rFonts w:cs="Times New Roman"/>
          <w:sz w:val="24"/>
          <w:szCs w:val="24"/>
        </w:rPr>
        <w:t>tracing its roots</w:t>
      </w:r>
      <w:r w:rsidR="003737ED">
        <w:rPr>
          <w:rFonts w:cs="Times New Roman"/>
          <w:sz w:val="24"/>
          <w:szCs w:val="24"/>
        </w:rPr>
        <w:t>”</w:t>
      </w:r>
      <w:r w:rsidR="004C1AED">
        <w:rPr>
          <w:rFonts w:cs="Times New Roman"/>
          <w:sz w:val="24"/>
          <w:szCs w:val="24"/>
        </w:rPr>
        <w:t xml:space="preserve"> to Ancient Greece</w:t>
      </w:r>
      <w:r w:rsidR="003737ED">
        <w:rPr>
          <w:rFonts w:cs="Times New Roman"/>
          <w:sz w:val="24"/>
          <w:szCs w:val="24"/>
        </w:rPr>
        <w:t xml:space="preserve"> and claiming this </w:t>
      </w:r>
      <w:r w:rsidR="00386575">
        <w:rPr>
          <w:rFonts w:cs="Times New Roman"/>
          <w:sz w:val="24"/>
          <w:szCs w:val="24"/>
        </w:rPr>
        <w:t xml:space="preserve">Classical </w:t>
      </w:r>
      <w:r w:rsidR="003737ED">
        <w:rPr>
          <w:rFonts w:cs="Times New Roman"/>
          <w:sz w:val="24"/>
          <w:szCs w:val="24"/>
        </w:rPr>
        <w:t>identity</w:t>
      </w:r>
      <w:r w:rsidR="004C1AED">
        <w:rPr>
          <w:rFonts w:cs="Times New Roman"/>
          <w:sz w:val="24"/>
          <w:szCs w:val="24"/>
        </w:rPr>
        <w:t>.</w:t>
      </w:r>
    </w:p>
    <w:p w:rsidR="00DA6445" w:rsidRDefault="00DA6445" w:rsidP="00DA6445">
      <w:pPr>
        <w:spacing w:line="480" w:lineRule="auto"/>
        <w:contextualSpacing/>
        <w:rPr>
          <w:sz w:val="24"/>
        </w:rPr>
      </w:pPr>
      <w:r>
        <w:rPr>
          <w:sz w:val="24"/>
        </w:rPr>
        <w:tab/>
      </w:r>
      <w:r w:rsidR="007A17B8">
        <w:rPr>
          <w:sz w:val="24"/>
        </w:rPr>
        <w:t>M</w:t>
      </w:r>
      <w:r>
        <w:rPr>
          <w:sz w:val="24"/>
        </w:rPr>
        <w:t xml:space="preserve">uch literature and scholarship has been concerned with </w:t>
      </w:r>
      <w:r w:rsidR="00224BCE">
        <w:rPr>
          <w:sz w:val="24"/>
        </w:rPr>
        <w:t xml:space="preserve">the history of the Parthenon and Athens, Greece. The same </w:t>
      </w:r>
      <w:proofErr w:type="gramStart"/>
      <w:r w:rsidR="00224BCE">
        <w:rPr>
          <w:sz w:val="24"/>
        </w:rPr>
        <w:t>can be said</w:t>
      </w:r>
      <w:proofErr w:type="gramEnd"/>
      <w:r w:rsidR="00224BCE">
        <w:rPr>
          <w:sz w:val="24"/>
        </w:rPr>
        <w:t xml:space="preserve"> for Nashville, Tennessee. </w:t>
      </w:r>
      <w:proofErr w:type="gramStart"/>
      <w:r w:rsidR="004658EC">
        <w:rPr>
          <w:sz w:val="24"/>
        </w:rPr>
        <w:t>But</w:t>
      </w:r>
      <w:proofErr w:type="gramEnd"/>
      <w:r w:rsidR="004658EC">
        <w:rPr>
          <w:sz w:val="24"/>
        </w:rPr>
        <w:t xml:space="preserve"> little research exists that attempts to uncover, discover, and evaluate the correlation between ancient Athens and modern Nashville. The purpose of this </w:t>
      </w:r>
      <w:r w:rsidR="007A17B8">
        <w:rPr>
          <w:sz w:val="24"/>
        </w:rPr>
        <w:t>thesis</w:t>
      </w:r>
      <w:r w:rsidR="004658EC">
        <w:rPr>
          <w:sz w:val="24"/>
        </w:rPr>
        <w:t xml:space="preserve"> is to venture where no scholars have before. </w:t>
      </w:r>
      <w:r w:rsidR="00785213">
        <w:rPr>
          <w:sz w:val="24"/>
        </w:rPr>
        <w:t xml:space="preserve">For over a century and a half, Nashville, Tennessee </w:t>
      </w:r>
      <w:proofErr w:type="gramStart"/>
      <w:r w:rsidR="00785213">
        <w:rPr>
          <w:sz w:val="24"/>
        </w:rPr>
        <w:t>is said</w:t>
      </w:r>
      <w:proofErr w:type="gramEnd"/>
      <w:r w:rsidR="00785213">
        <w:rPr>
          <w:sz w:val="24"/>
        </w:rPr>
        <w:t xml:space="preserve"> to have a cultural identity that</w:t>
      </w:r>
      <w:r w:rsidR="00CF0A3D">
        <w:rPr>
          <w:sz w:val="24"/>
        </w:rPr>
        <w:t xml:space="preserve"> embodies the classical traditions of ancient Athens. This claim is evident in the classical mythology</w:t>
      </w:r>
      <w:r w:rsidR="00386575">
        <w:rPr>
          <w:sz w:val="24"/>
        </w:rPr>
        <w:t xml:space="preserve">, art, and education </w:t>
      </w:r>
      <w:r w:rsidR="00CF0A3D">
        <w:rPr>
          <w:sz w:val="24"/>
        </w:rPr>
        <w:t xml:space="preserve">present in the city, the classical architecture </w:t>
      </w:r>
      <w:r w:rsidR="00386575">
        <w:rPr>
          <w:sz w:val="24"/>
        </w:rPr>
        <w:t>of</w:t>
      </w:r>
      <w:r w:rsidR="00CF0A3D">
        <w:rPr>
          <w:sz w:val="24"/>
        </w:rPr>
        <w:t xml:space="preserve"> government and </w:t>
      </w:r>
      <w:r w:rsidR="00FC237D">
        <w:rPr>
          <w:sz w:val="24"/>
        </w:rPr>
        <w:t xml:space="preserve">administrative buildings throughout the area, and most prominently, the full-scale replica of </w:t>
      </w:r>
      <w:r w:rsidR="004C1AED">
        <w:rPr>
          <w:sz w:val="24"/>
        </w:rPr>
        <w:t xml:space="preserve">the Parthenon. </w:t>
      </w:r>
    </w:p>
    <w:p w:rsidR="004C1AED" w:rsidRPr="00462D2A" w:rsidRDefault="007A17B8" w:rsidP="00462D2A">
      <w:pPr>
        <w:spacing w:line="480" w:lineRule="auto"/>
        <w:ind w:firstLine="720"/>
        <w:contextualSpacing/>
        <w:rPr>
          <w:sz w:val="24"/>
        </w:rPr>
      </w:pPr>
      <w:r>
        <w:rPr>
          <w:sz w:val="24"/>
          <w:szCs w:val="24"/>
        </w:rPr>
        <w:t>T</w:t>
      </w:r>
      <w:r w:rsidR="00AA1C20">
        <w:rPr>
          <w:sz w:val="24"/>
          <w:szCs w:val="24"/>
        </w:rPr>
        <w:t xml:space="preserve">his </w:t>
      </w:r>
      <w:r>
        <w:rPr>
          <w:sz w:val="24"/>
          <w:szCs w:val="24"/>
        </w:rPr>
        <w:t>thesis</w:t>
      </w:r>
      <w:r w:rsidR="00AA1C20">
        <w:rPr>
          <w:sz w:val="24"/>
          <w:szCs w:val="24"/>
        </w:rPr>
        <w:t xml:space="preserve"> </w:t>
      </w:r>
      <w:r w:rsidR="004C1AED" w:rsidRPr="001129AC">
        <w:rPr>
          <w:sz w:val="24"/>
          <w:szCs w:val="24"/>
        </w:rPr>
        <w:t>attempt</w:t>
      </w:r>
      <w:r w:rsidR="00AA1C20">
        <w:rPr>
          <w:sz w:val="24"/>
          <w:szCs w:val="24"/>
        </w:rPr>
        <w:t>s</w:t>
      </w:r>
      <w:r w:rsidR="004C1AED" w:rsidRPr="001129AC">
        <w:rPr>
          <w:sz w:val="24"/>
          <w:szCs w:val="24"/>
        </w:rPr>
        <w:t xml:space="preserve"> to </w:t>
      </w:r>
      <w:r w:rsidR="00AA1C20">
        <w:rPr>
          <w:sz w:val="24"/>
          <w:szCs w:val="24"/>
        </w:rPr>
        <w:t>understand</w:t>
      </w:r>
      <w:r w:rsidR="004C1AED" w:rsidRPr="001129AC">
        <w:rPr>
          <w:sz w:val="24"/>
          <w:szCs w:val="24"/>
        </w:rPr>
        <w:t xml:space="preserve"> the Parthenon</w:t>
      </w:r>
      <w:r w:rsidR="004C1AED">
        <w:rPr>
          <w:sz w:val="24"/>
          <w:szCs w:val="24"/>
        </w:rPr>
        <w:t>’s</w:t>
      </w:r>
      <w:r w:rsidR="004C1AED" w:rsidRPr="001129AC">
        <w:rPr>
          <w:sz w:val="24"/>
          <w:szCs w:val="24"/>
        </w:rPr>
        <w:t xml:space="preserve"> </w:t>
      </w:r>
      <w:r w:rsidR="004C1AED">
        <w:rPr>
          <w:sz w:val="24"/>
          <w:szCs w:val="24"/>
        </w:rPr>
        <w:t xml:space="preserve">placement </w:t>
      </w:r>
      <w:r w:rsidR="004C1AED" w:rsidRPr="001129AC">
        <w:rPr>
          <w:sz w:val="24"/>
          <w:szCs w:val="24"/>
        </w:rPr>
        <w:t xml:space="preserve">in </w:t>
      </w:r>
      <w:r w:rsidR="004C1AED">
        <w:rPr>
          <w:sz w:val="24"/>
          <w:szCs w:val="24"/>
        </w:rPr>
        <w:t xml:space="preserve">Nashville, Tennessee by documenting Nashville’s history and reputation as “Athens of the South” and </w:t>
      </w:r>
      <w:r w:rsidR="00AA1C20">
        <w:rPr>
          <w:sz w:val="24"/>
          <w:szCs w:val="24"/>
        </w:rPr>
        <w:t xml:space="preserve">depicting </w:t>
      </w:r>
      <w:r w:rsidR="004C1AED">
        <w:rPr>
          <w:sz w:val="24"/>
          <w:szCs w:val="24"/>
        </w:rPr>
        <w:t xml:space="preserve">Greece’s history </w:t>
      </w:r>
      <w:r w:rsidR="004C1AED" w:rsidRPr="001129AC">
        <w:rPr>
          <w:sz w:val="24"/>
          <w:szCs w:val="24"/>
        </w:rPr>
        <w:t xml:space="preserve">and </w:t>
      </w:r>
      <w:r w:rsidR="004C1AED">
        <w:rPr>
          <w:sz w:val="24"/>
          <w:szCs w:val="24"/>
        </w:rPr>
        <w:t>the original Parthenon’s</w:t>
      </w:r>
      <w:r w:rsidR="004C1AED" w:rsidRPr="001129AC">
        <w:rPr>
          <w:sz w:val="24"/>
          <w:szCs w:val="24"/>
        </w:rPr>
        <w:t xml:space="preserve"> context w</w:t>
      </w:r>
      <w:r w:rsidR="00D30EB6">
        <w:rPr>
          <w:sz w:val="24"/>
          <w:szCs w:val="24"/>
        </w:rPr>
        <w:t>ithin the sacred space of the Ak</w:t>
      </w:r>
      <w:r w:rsidR="00AA1C20">
        <w:rPr>
          <w:sz w:val="24"/>
          <w:szCs w:val="24"/>
        </w:rPr>
        <w:t>ropolis.</w:t>
      </w:r>
      <w:r w:rsidR="004C1AED" w:rsidRPr="001129AC">
        <w:rPr>
          <w:sz w:val="24"/>
          <w:szCs w:val="24"/>
        </w:rPr>
        <w:t xml:space="preserve"> </w:t>
      </w:r>
      <w:r w:rsidR="00371127">
        <w:rPr>
          <w:sz w:val="24"/>
          <w:szCs w:val="24"/>
        </w:rPr>
        <w:t xml:space="preserve">Exploring the </w:t>
      </w:r>
      <w:r w:rsidR="007A4BA4">
        <w:rPr>
          <w:sz w:val="24"/>
          <w:szCs w:val="24"/>
        </w:rPr>
        <w:t>cultural</w:t>
      </w:r>
      <w:r w:rsidR="00E46E50">
        <w:rPr>
          <w:sz w:val="24"/>
          <w:szCs w:val="24"/>
        </w:rPr>
        <w:t xml:space="preserve"> </w:t>
      </w:r>
      <w:r w:rsidR="0077766A">
        <w:rPr>
          <w:sz w:val="24"/>
          <w:szCs w:val="24"/>
        </w:rPr>
        <w:t>remodel</w:t>
      </w:r>
      <w:r w:rsidR="007A4BA4">
        <w:rPr>
          <w:sz w:val="24"/>
          <w:szCs w:val="24"/>
        </w:rPr>
        <w:t xml:space="preserve">, </w:t>
      </w:r>
      <w:r w:rsidR="00C64819">
        <w:rPr>
          <w:sz w:val="24"/>
          <w:szCs w:val="24"/>
        </w:rPr>
        <w:t>adaptive reuse</w:t>
      </w:r>
      <w:r w:rsidR="007A4BA4">
        <w:rPr>
          <w:sz w:val="24"/>
          <w:szCs w:val="24"/>
        </w:rPr>
        <w:t>,</w:t>
      </w:r>
      <w:r w:rsidR="00C64819">
        <w:rPr>
          <w:sz w:val="24"/>
          <w:szCs w:val="24"/>
        </w:rPr>
        <w:t xml:space="preserve"> </w:t>
      </w:r>
      <w:r w:rsidR="00E46E50">
        <w:rPr>
          <w:sz w:val="24"/>
          <w:szCs w:val="24"/>
        </w:rPr>
        <w:t xml:space="preserve">and locational transfer </w:t>
      </w:r>
      <w:r w:rsidR="00C64819">
        <w:rPr>
          <w:sz w:val="24"/>
          <w:szCs w:val="24"/>
        </w:rPr>
        <w:t xml:space="preserve">of the </w:t>
      </w:r>
      <w:r w:rsidR="00E46E50">
        <w:rPr>
          <w:sz w:val="24"/>
          <w:szCs w:val="24"/>
        </w:rPr>
        <w:t xml:space="preserve">Parthenon </w:t>
      </w:r>
      <w:r w:rsidR="0077766A">
        <w:rPr>
          <w:sz w:val="24"/>
          <w:szCs w:val="24"/>
        </w:rPr>
        <w:t>will delineate the cultural purposes of its reconstruction and its cultural significance in Nashville</w:t>
      </w:r>
      <w:r w:rsidR="007A4BA4">
        <w:rPr>
          <w:sz w:val="24"/>
          <w:szCs w:val="24"/>
        </w:rPr>
        <w:t xml:space="preserve"> as a symbol of </w:t>
      </w:r>
      <w:r w:rsidR="00B416F8">
        <w:rPr>
          <w:sz w:val="24"/>
          <w:szCs w:val="24"/>
        </w:rPr>
        <w:t>its</w:t>
      </w:r>
      <w:r w:rsidR="007A4BA4">
        <w:rPr>
          <w:sz w:val="24"/>
          <w:szCs w:val="24"/>
        </w:rPr>
        <w:t xml:space="preserve"> cultural identity</w:t>
      </w:r>
      <w:r w:rsidR="00B416F8">
        <w:rPr>
          <w:sz w:val="24"/>
          <w:szCs w:val="24"/>
        </w:rPr>
        <w:t xml:space="preserve"> – the “Athens of the South</w:t>
      </w:r>
      <w:r w:rsidR="007A4BA4">
        <w:rPr>
          <w:sz w:val="24"/>
          <w:szCs w:val="24"/>
        </w:rPr>
        <w:t>”</w:t>
      </w:r>
      <w:r w:rsidR="00B416F8">
        <w:rPr>
          <w:sz w:val="24"/>
          <w:szCs w:val="24"/>
        </w:rPr>
        <w:t xml:space="preserve"> – and determine if this cultural identity is as significant as it once was</w:t>
      </w:r>
      <w:r w:rsidR="00410F09">
        <w:rPr>
          <w:sz w:val="24"/>
          <w:szCs w:val="24"/>
        </w:rPr>
        <w:t xml:space="preserve"> in Nashville</w:t>
      </w:r>
      <w:r w:rsidR="00B416F8">
        <w:rPr>
          <w:sz w:val="24"/>
          <w:szCs w:val="24"/>
        </w:rPr>
        <w:t xml:space="preserve">. </w:t>
      </w:r>
      <w:r w:rsidR="00D46016">
        <w:rPr>
          <w:sz w:val="24"/>
        </w:rPr>
        <w:t xml:space="preserve">Throughout this research, many critical elements </w:t>
      </w:r>
      <w:proofErr w:type="gramStart"/>
      <w:r w:rsidR="00D46016">
        <w:rPr>
          <w:sz w:val="24"/>
        </w:rPr>
        <w:t>are presented and discussed in as much respect as possible for the parties involved</w:t>
      </w:r>
      <w:proofErr w:type="gramEnd"/>
      <w:r w:rsidR="00D46016">
        <w:rPr>
          <w:sz w:val="24"/>
        </w:rPr>
        <w:t xml:space="preserve">. This research attempts to understand and relate key elements previously disconnected </w:t>
      </w:r>
      <w:proofErr w:type="gramStart"/>
      <w:r w:rsidR="00D46016">
        <w:rPr>
          <w:sz w:val="24"/>
        </w:rPr>
        <w:t>by research in hopes to further interest in the Parthenon, its history, and its adaptive legacy</w:t>
      </w:r>
      <w:proofErr w:type="gramEnd"/>
      <w:r w:rsidR="00D46016">
        <w:rPr>
          <w:sz w:val="24"/>
        </w:rPr>
        <w:t xml:space="preserve"> across time and </w:t>
      </w:r>
      <w:r w:rsidR="00D46016">
        <w:rPr>
          <w:sz w:val="24"/>
        </w:rPr>
        <w:lastRenderedPageBreak/>
        <w:t xml:space="preserve">space. In order to do this, this research relies upon as much primary source material as possible and the most established research. </w:t>
      </w:r>
      <w:r w:rsidR="00D46016" w:rsidRPr="00076ADE">
        <w:rPr>
          <w:sz w:val="24"/>
        </w:rPr>
        <w:t xml:space="preserve">Four elements </w:t>
      </w:r>
      <w:proofErr w:type="gramStart"/>
      <w:r w:rsidR="00D46016" w:rsidRPr="00076ADE">
        <w:rPr>
          <w:sz w:val="24"/>
        </w:rPr>
        <w:t>must be considered</w:t>
      </w:r>
      <w:proofErr w:type="gramEnd"/>
      <w:r w:rsidR="00D46016" w:rsidRPr="00076ADE">
        <w:rPr>
          <w:sz w:val="24"/>
        </w:rPr>
        <w:t xml:space="preserve"> to achieve the goal of this research: the Athenian Parthenon, the Nashvillian Parthenon, the Akropolis as a sacred space, and the Centennial Park as a designated landmark. </w:t>
      </w:r>
      <w:proofErr w:type="gramStart"/>
      <w:r w:rsidR="00D46016" w:rsidRPr="00076ADE">
        <w:rPr>
          <w:sz w:val="24"/>
        </w:rPr>
        <w:t xml:space="preserve">By comparing and contrasting these elements, their implications, and their cultures, </w:t>
      </w:r>
      <w:r w:rsidR="00D46016">
        <w:rPr>
          <w:sz w:val="24"/>
        </w:rPr>
        <w:t>the</w:t>
      </w:r>
      <w:r w:rsidR="00D46016" w:rsidRPr="00076ADE">
        <w:rPr>
          <w:sz w:val="24"/>
        </w:rPr>
        <w:t xml:space="preserve"> research </w:t>
      </w:r>
      <w:r w:rsidR="00D46016">
        <w:rPr>
          <w:sz w:val="24"/>
        </w:rPr>
        <w:t xml:space="preserve">reveals </w:t>
      </w:r>
      <w:r w:rsidR="00D46016" w:rsidRPr="00076ADE">
        <w:rPr>
          <w:sz w:val="24"/>
        </w:rPr>
        <w:t xml:space="preserve">the forces behind such parallelism </w:t>
      </w:r>
      <w:r w:rsidR="00D46016">
        <w:rPr>
          <w:sz w:val="24"/>
        </w:rPr>
        <w:t xml:space="preserve">or disharmony </w:t>
      </w:r>
      <w:r w:rsidR="00D46016" w:rsidRPr="00076ADE">
        <w:rPr>
          <w:sz w:val="24"/>
        </w:rPr>
        <w:t>in the extrapolation</w:t>
      </w:r>
      <w:r w:rsidR="00410F09">
        <w:rPr>
          <w:sz w:val="24"/>
        </w:rPr>
        <w:t xml:space="preserve">, </w:t>
      </w:r>
      <w:r w:rsidR="00410F09" w:rsidRPr="00410F09">
        <w:rPr>
          <w:sz w:val="24"/>
        </w:rPr>
        <w:t>reconstruction</w:t>
      </w:r>
      <w:r w:rsidR="00410F09">
        <w:rPr>
          <w:sz w:val="24"/>
        </w:rPr>
        <w:t>,</w:t>
      </w:r>
      <w:r w:rsidR="00410F09" w:rsidRPr="00410F09">
        <w:rPr>
          <w:sz w:val="24"/>
        </w:rPr>
        <w:t xml:space="preserve"> and acclimatization</w:t>
      </w:r>
      <w:r w:rsidR="00410F09">
        <w:rPr>
          <w:sz w:val="24"/>
        </w:rPr>
        <w:t xml:space="preserve"> </w:t>
      </w:r>
      <w:r w:rsidR="00D46016" w:rsidRPr="00076ADE">
        <w:rPr>
          <w:sz w:val="24"/>
        </w:rPr>
        <w:t xml:space="preserve">of the Parthenon from the Akropolis </w:t>
      </w:r>
      <w:r w:rsidR="00410F09">
        <w:rPr>
          <w:sz w:val="24"/>
        </w:rPr>
        <w:t xml:space="preserve">to </w:t>
      </w:r>
      <w:r w:rsidR="00410F09" w:rsidRPr="001129AC">
        <w:rPr>
          <w:sz w:val="24"/>
          <w:szCs w:val="24"/>
        </w:rPr>
        <w:t xml:space="preserve">the designated </w:t>
      </w:r>
      <w:r w:rsidR="00410F09">
        <w:rPr>
          <w:sz w:val="24"/>
          <w:szCs w:val="24"/>
        </w:rPr>
        <w:t>groves</w:t>
      </w:r>
      <w:r w:rsidR="00410F09" w:rsidRPr="001129AC">
        <w:rPr>
          <w:sz w:val="24"/>
          <w:szCs w:val="24"/>
        </w:rPr>
        <w:t xml:space="preserve"> of Centennial Park</w:t>
      </w:r>
      <w:r w:rsidR="00410F09" w:rsidRPr="00076ADE">
        <w:rPr>
          <w:sz w:val="24"/>
        </w:rPr>
        <w:t xml:space="preserve"> </w:t>
      </w:r>
      <w:r w:rsidR="00D46016" w:rsidRPr="00076ADE">
        <w:rPr>
          <w:sz w:val="24"/>
        </w:rPr>
        <w:t xml:space="preserve">and reveal the </w:t>
      </w:r>
      <w:r w:rsidR="00D46016">
        <w:rPr>
          <w:sz w:val="24"/>
        </w:rPr>
        <w:t>purpose</w:t>
      </w:r>
      <w:r w:rsidR="00D46016" w:rsidRPr="00076ADE">
        <w:rPr>
          <w:sz w:val="24"/>
        </w:rPr>
        <w:t xml:space="preserve"> for the adaptive reuse of the Parthenon in Nashville </w:t>
      </w:r>
      <w:r w:rsidR="00D46016">
        <w:rPr>
          <w:sz w:val="24"/>
        </w:rPr>
        <w:t>as a symbol of the identity</w:t>
      </w:r>
      <w:r w:rsidR="00D46016" w:rsidRPr="00076ADE">
        <w:rPr>
          <w:sz w:val="24"/>
        </w:rPr>
        <w:t>, “The Athens of the South.”</w:t>
      </w:r>
      <w:proofErr w:type="gramEnd"/>
      <w:r w:rsidR="00D46016" w:rsidRPr="00076ADE">
        <w:rPr>
          <w:sz w:val="24"/>
        </w:rPr>
        <w:t xml:space="preserve"> </w:t>
      </w:r>
      <w:r w:rsidR="00D46016">
        <w:rPr>
          <w:sz w:val="24"/>
        </w:rPr>
        <w:t xml:space="preserve"> </w:t>
      </w:r>
    </w:p>
    <w:p w:rsidR="008711AE" w:rsidRDefault="005C7A02" w:rsidP="005C7A02">
      <w:pPr>
        <w:spacing w:line="480" w:lineRule="auto"/>
        <w:ind w:firstLine="720"/>
        <w:contextualSpacing/>
        <w:rPr>
          <w:sz w:val="24"/>
        </w:rPr>
      </w:pPr>
      <w:r>
        <w:rPr>
          <w:sz w:val="24"/>
        </w:rPr>
        <w:t>T</w:t>
      </w:r>
      <w:r w:rsidR="004C1AED">
        <w:rPr>
          <w:sz w:val="24"/>
        </w:rPr>
        <w:t xml:space="preserve">his research </w:t>
      </w:r>
      <w:proofErr w:type="gramStart"/>
      <w:r>
        <w:rPr>
          <w:sz w:val="24"/>
        </w:rPr>
        <w:t>is organized</w:t>
      </w:r>
      <w:proofErr w:type="gramEnd"/>
      <w:r>
        <w:rPr>
          <w:sz w:val="24"/>
        </w:rPr>
        <w:t xml:space="preserve"> into successive chapters </w:t>
      </w:r>
      <w:r w:rsidR="004C1AED">
        <w:rPr>
          <w:sz w:val="24"/>
        </w:rPr>
        <w:t>to accommodate the topics of research involved. The first chapter is devoted to understanding the history and meaning behind “Athens of the South.” This title and reputation has an interesting origin and legacy that must be con</w:t>
      </w:r>
      <w:r w:rsidR="008711AE">
        <w:rPr>
          <w:sz w:val="24"/>
        </w:rPr>
        <w:t xml:space="preserve">sidered first to </w:t>
      </w:r>
      <w:r w:rsidR="00C750AB">
        <w:rPr>
          <w:sz w:val="24"/>
        </w:rPr>
        <w:t xml:space="preserve">investigate any of the Western World’s </w:t>
      </w:r>
      <w:r w:rsidR="008711AE">
        <w:rPr>
          <w:sz w:val="24"/>
        </w:rPr>
        <w:t xml:space="preserve">classical </w:t>
      </w:r>
      <w:r w:rsidR="00C750AB">
        <w:rPr>
          <w:sz w:val="24"/>
        </w:rPr>
        <w:t xml:space="preserve">ties or </w:t>
      </w:r>
      <w:r w:rsidR="008711AE">
        <w:rPr>
          <w:sz w:val="24"/>
        </w:rPr>
        <w:t>infatuation</w:t>
      </w:r>
      <w:r w:rsidR="00C750AB">
        <w:rPr>
          <w:sz w:val="24"/>
        </w:rPr>
        <w:t>s</w:t>
      </w:r>
      <w:r w:rsidR="008711AE">
        <w:rPr>
          <w:sz w:val="24"/>
        </w:rPr>
        <w:t>. Turning time back to the beginnings of Tennessee and tracing this history through to the Reconstruction show</w:t>
      </w:r>
      <w:r>
        <w:rPr>
          <w:sz w:val="24"/>
        </w:rPr>
        <w:t>s</w:t>
      </w:r>
      <w:r w:rsidR="008711AE">
        <w:rPr>
          <w:sz w:val="24"/>
        </w:rPr>
        <w:t xml:space="preserve"> how this title is either appropriate or tactful. </w:t>
      </w:r>
      <w:r w:rsidR="00596AC6">
        <w:rPr>
          <w:sz w:val="24"/>
        </w:rPr>
        <w:t xml:space="preserve">For mid-nineteenth </w:t>
      </w:r>
      <w:proofErr w:type="gramStart"/>
      <w:r w:rsidR="00596AC6">
        <w:rPr>
          <w:sz w:val="24"/>
        </w:rPr>
        <w:t>century</w:t>
      </w:r>
      <w:proofErr w:type="gramEnd"/>
      <w:r w:rsidR="00596AC6">
        <w:rPr>
          <w:sz w:val="24"/>
        </w:rPr>
        <w:t xml:space="preserve"> Nashvillians to </w:t>
      </w:r>
      <w:r w:rsidR="00D253BF">
        <w:rPr>
          <w:sz w:val="24"/>
        </w:rPr>
        <w:t>align</w:t>
      </w:r>
      <w:r w:rsidR="00596AC6">
        <w:rPr>
          <w:sz w:val="24"/>
        </w:rPr>
        <w:t xml:space="preserve"> themselves </w:t>
      </w:r>
      <w:r w:rsidR="00D253BF">
        <w:rPr>
          <w:sz w:val="24"/>
        </w:rPr>
        <w:t xml:space="preserve">with </w:t>
      </w:r>
      <w:r w:rsidR="00596AC6">
        <w:rPr>
          <w:sz w:val="24"/>
        </w:rPr>
        <w:t xml:space="preserve">Ancient Athens is a large </w:t>
      </w:r>
      <w:r w:rsidR="002448EC">
        <w:rPr>
          <w:sz w:val="24"/>
        </w:rPr>
        <w:t xml:space="preserve">claim to make. </w:t>
      </w:r>
      <w:r>
        <w:rPr>
          <w:sz w:val="24"/>
        </w:rPr>
        <w:t>U</w:t>
      </w:r>
      <w:r w:rsidR="002448EC">
        <w:rPr>
          <w:sz w:val="24"/>
        </w:rPr>
        <w:t>n</w:t>
      </w:r>
      <w:r w:rsidR="0039364B">
        <w:rPr>
          <w:sz w:val="24"/>
        </w:rPr>
        <w:t>ravel</w:t>
      </w:r>
      <w:r>
        <w:rPr>
          <w:sz w:val="24"/>
        </w:rPr>
        <w:t>ing</w:t>
      </w:r>
      <w:r w:rsidR="002448EC">
        <w:rPr>
          <w:sz w:val="24"/>
        </w:rPr>
        <w:t xml:space="preserve"> this </w:t>
      </w:r>
      <w:r w:rsidR="00B416F8">
        <w:rPr>
          <w:sz w:val="24"/>
        </w:rPr>
        <w:t>identity</w:t>
      </w:r>
      <w:r w:rsidR="002448EC">
        <w:rPr>
          <w:sz w:val="24"/>
        </w:rPr>
        <w:t xml:space="preserve"> and its influences from the period’s neoclassical movement </w:t>
      </w:r>
      <w:r w:rsidR="00DF450D">
        <w:rPr>
          <w:sz w:val="24"/>
        </w:rPr>
        <w:t>leads to its</w:t>
      </w:r>
      <w:r w:rsidR="002448EC">
        <w:rPr>
          <w:sz w:val="24"/>
        </w:rPr>
        <w:t xml:space="preserve"> justification</w:t>
      </w:r>
      <w:r w:rsidR="00DF450D">
        <w:rPr>
          <w:sz w:val="24"/>
        </w:rPr>
        <w:t>, meaning, and</w:t>
      </w:r>
      <w:r w:rsidR="002448EC">
        <w:rPr>
          <w:sz w:val="24"/>
        </w:rPr>
        <w:t xml:space="preserve"> purpose to this title.</w:t>
      </w:r>
    </w:p>
    <w:p w:rsidR="00EA797B" w:rsidRDefault="008711AE" w:rsidP="00DA6445">
      <w:pPr>
        <w:spacing w:line="480" w:lineRule="auto"/>
        <w:contextualSpacing/>
        <w:rPr>
          <w:sz w:val="24"/>
        </w:rPr>
      </w:pPr>
      <w:r>
        <w:rPr>
          <w:sz w:val="24"/>
        </w:rPr>
        <w:tab/>
        <w:t>The second chapter devotes itself to one event – Tennessee’</w:t>
      </w:r>
      <w:r w:rsidR="00596AC6">
        <w:rPr>
          <w:sz w:val="24"/>
        </w:rPr>
        <w:t>s Centennial Exposition of 1897. This event is crucial to see the development of “Athens of the South” and the first significant appearance</w:t>
      </w:r>
      <w:r w:rsidR="00041F25">
        <w:rPr>
          <w:sz w:val="24"/>
        </w:rPr>
        <w:t xml:space="preserve"> of the Parthenon in Nashville, hereby moving </w:t>
      </w:r>
      <w:r w:rsidR="00041F25">
        <w:rPr>
          <w:sz w:val="24"/>
        </w:rPr>
        <w:lastRenderedPageBreak/>
        <w:t xml:space="preserve">topically from the nonmaterial culture of Nashville to the ultimate manifestation of Nashville’s material culture. </w:t>
      </w:r>
      <w:r w:rsidR="002448EC">
        <w:rPr>
          <w:sz w:val="24"/>
        </w:rPr>
        <w:t xml:space="preserve">Tennessee had just celebrated its centennial anniversary in the Union (despite the </w:t>
      </w:r>
      <w:r w:rsidR="00EA797B">
        <w:rPr>
          <w:sz w:val="24"/>
        </w:rPr>
        <w:t>years of its Confederacy’s membership) and wished to provide a spectacle in league (and perhaps competition) with the large industrious centers of the United States of the time. The center of the Centennial Exposition</w:t>
      </w:r>
      <w:r w:rsidR="00D4634A">
        <w:rPr>
          <w:sz w:val="24"/>
        </w:rPr>
        <w:t>’s grounds</w:t>
      </w:r>
      <w:r w:rsidR="00EA797B">
        <w:rPr>
          <w:sz w:val="24"/>
        </w:rPr>
        <w:t xml:space="preserve"> was a replica of the Parthenon </w:t>
      </w:r>
      <w:r w:rsidR="00D4634A">
        <w:rPr>
          <w:sz w:val="24"/>
        </w:rPr>
        <w:t>that housed American artwork. The introduction of the Parthenon, its location, and the entire celebration itself will enlighten certain details related to the embodiment of the aspired cultural identity of Nashville – the “Athens of the South.”</w:t>
      </w:r>
    </w:p>
    <w:p w:rsidR="00D4634A" w:rsidRDefault="00D4634A" w:rsidP="00DA6445">
      <w:pPr>
        <w:spacing w:line="480" w:lineRule="auto"/>
        <w:contextualSpacing/>
        <w:rPr>
          <w:sz w:val="24"/>
        </w:rPr>
      </w:pPr>
      <w:r>
        <w:rPr>
          <w:sz w:val="24"/>
        </w:rPr>
        <w:tab/>
        <w:t xml:space="preserve">However, no cultural analysis of the Parthenon would be complete if the real history of the Parthenon </w:t>
      </w:r>
      <w:proofErr w:type="gramStart"/>
      <w:r>
        <w:rPr>
          <w:sz w:val="24"/>
        </w:rPr>
        <w:t>were not addressed</w:t>
      </w:r>
      <w:proofErr w:type="gramEnd"/>
      <w:r>
        <w:rPr>
          <w:sz w:val="24"/>
        </w:rPr>
        <w:t xml:space="preserve">. Chapter </w:t>
      </w:r>
      <w:proofErr w:type="gramStart"/>
      <w:r>
        <w:rPr>
          <w:sz w:val="24"/>
        </w:rPr>
        <w:t>three</w:t>
      </w:r>
      <w:proofErr w:type="gramEnd"/>
      <w:r>
        <w:rPr>
          <w:sz w:val="24"/>
        </w:rPr>
        <w:t xml:space="preserve"> reflects on the history of Athens and the Parthenon through the ages, a little known narrative despite the fame of </w:t>
      </w:r>
      <w:r w:rsidR="00275E8B">
        <w:rPr>
          <w:sz w:val="24"/>
        </w:rPr>
        <w:t>the broken slabs of marble call</w:t>
      </w:r>
      <w:r w:rsidR="00DF450D">
        <w:rPr>
          <w:sz w:val="24"/>
        </w:rPr>
        <w:t>ed</w:t>
      </w:r>
      <w:r w:rsidR="00275E8B">
        <w:rPr>
          <w:sz w:val="24"/>
        </w:rPr>
        <w:t xml:space="preserve"> the ruins of the Parthenon. While providing </w:t>
      </w:r>
      <w:r w:rsidR="00F22824">
        <w:rPr>
          <w:sz w:val="24"/>
        </w:rPr>
        <w:t>an in-</w:t>
      </w:r>
      <w:r w:rsidR="00275E8B">
        <w:rPr>
          <w:sz w:val="24"/>
        </w:rPr>
        <w:t xml:space="preserve">depth description and analysis of the Athenian Parthenon, I depict the unfamiliar history, the Western attempt to wipe out the Parthenon’s history, and </w:t>
      </w:r>
      <w:r w:rsidR="008D49C4">
        <w:rPr>
          <w:sz w:val="24"/>
        </w:rPr>
        <w:t xml:space="preserve">the juxtaposition of the romantic idealism of the neoclassical movements with the </w:t>
      </w:r>
      <w:r w:rsidR="00900865">
        <w:rPr>
          <w:sz w:val="24"/>
        </w:rPr>
        <w:t xml:space="preserve">known </w:t>
      </w:r>
      <w:r w:rsidR="008D49C4">
        <w:rPr>
          <w:sz w:val="24"/>
        </w:rPr>
        <w:t xml:space="preserve">history of the Parthenon, informed by </w:t>
      </w:r>
      <w:r w:rsidR="00642515">
        <w:rPr>
          <w:sz w:val="24"/>
        </w:rPr>
        <w:t xml:space="preserve">some of </w:t>
      </w:r>
      <w:r w:rsidR="008D49C4">
        <w:rPr>
          <w:sz w:val="24"/>
        </w:rPr>
        <w:t xml:space="preserve">the latest research from the </w:t>
      </w:r>
      <w:proofErr w:type="gramStart"/>
      <w:r w:rsidR="008D49C4">
        <w:rPr>
          <w:sz w:val="24"/>
        </w:rPr>
        <w:t>world’s</w:t>
      </w:r>
      <w:proofErr w:type="gramEnd"/>
      <w:r w:rsidR="008D49C4">
        <w:rPr>
          <w:sz w:val="24"/>
        </w:rPr>
        <w:t xml:space="preserve"> leading scholars. </w:t>
      </w:r>
    </w:p>
    <w:p w:rsidR="005C28B7" w:rsidRDefault="008D49C4" w:rsidP="00DA6445">
      <w:pPr>
        <w:spacing w:line="480" w:lineRule="auto"/>
        <w:contextualSpacing/>
        <w:rPr>
          <w:sz w:val="24"/>
        </w:rPr>
      </w:pPr>
      <w:r>
        <w:rPr>
          <w:sz w:val="24"/>
        </w:rPr>
        <w:tab/>
        <w:t>Bringing t</w:t>
      </w:r>
      <w:r w:rsidR="000D266F">
        <w:rPr>
          <w:sz w:val="24"/>
        </w:rPr>
        <w:t>he research back to Nashville, c</w:t>
      </w:r>
      <w:r>
        <w:rPr>
          <w:sz w:val="24"/>
        </w:rPr>
        <w:t xml:space="preserve">hapter four explains the permanence of the Parthenon </w:t>
      </w:r>
      <w:r w:rsidR="006A5CA5">
        <w:rPr>
          <w:sz w:val="24"/>
        </w:rPr>
        <w:t xml:space="preserve">after the Centennial Exposition and who actually wanted it there. This chapter primarily concerns itself with the </w:t>
      </w:r>
      <w:r w:rsidR="000D266F">
        <w:rPr>
          <w:sz w:val="24"/>
        </w:rPr>
        <w:t>Nashvillian</w:t>
      </w:r>
      <w:r w:rsidR="006A5CA5">
        <w:rPr>
          <w:sz w:val="24"/>
        </w:rPr>
        <w:t xml:space="preserve"> reception of the Parthenon and a state park to surround the G</w:t>
      </w:r>
      <w:r w:rsidR="008565A5">
        <w:rPr>
          <w:sz w:val="24"/>
        </w:rPr>
        <w:t xml:space="preserve">reek temple. The formation of the Park Board and the acquisition of a large portion of the land used in the Centennial Exposition of 1897 </w:t>
      </w:r>
      <w:r w:rsidR="008565A5">
        <w:rPr>
          <w:sz w:val="24"/>
        </w:rPr>
        <w:lastRenderedPageBreak/>
        <w:t>expose</w:t>
      </w:r>
      <w:r w:rsidR="00642515">
        <w:rPr>
          <w:sz w:val="24"/>
        </w:rPr>
        <w:t xml:space="preserve">s </w:t>
      </w:r>
      <w:r w:rsidR="00D253BF">
        <w:rPr>
          <w:sz w:val="24"/>
        </w:rPr>
        <w:t xml:space="preserve">some of </w:t>
      </w:r>
      <w:r w:rsidR="00642515">
        <w:rPr>
          <w:sz w:val="24"/>
        </w:rPr>
        <w:t>the</w:t>
      </w:r>
      <w:r w:rsidR="008565A5">
        <w:rPr>
          <w:sz w:val="24"/>
        </w:rPr>
        <w:t xml:space="preserve"> intentions of the leaders and government in Nashville</w:t>
      </w:r>
      <w:r w:rsidR="000D266F">
        <w:rPr>
          <w:sz w:val="24"/>
        </w:rPr>
        <w:t xml:space="preserve"> before, during, and after the reconstruction of the Parthenon in Nashville – the structure now see</w:t>
      </w:r>
      <w:r w:rsidR="00900865">
        <w:rPr>
          <w:sz w:val="24"/>
        </w:rPr>
        <w:t>n</w:t>
      </w:r>
      <w:r w:rsidR="000D266F">
        <w:rPr>
          <w:sz w:val="24"/>
        </w:rPr>
        <w:t xml:space="preserve"> </w:t>
      </w:r>
      <w:r w:rsidR="00900865">
        <w:rPr>
          <w:sz w:val="24"/>
        </w:rPr>
        <w:t xml:space="preserve">within </w:t>
      </w:r>
      <w:r w:rsidR="000D266F">
        <w:rPr>
          <w:sz w:val="24"/>
        </w:rPr>
        <w:t xml:space="preserve">Centennial Park. Lastly, the </w:t>
      </w:r>
      <w:r w:rsidR="00BE47A5">
        <w:rPr>
          <w:sz w:val="24"/>
        </w:rPr>
        <w:t xml:space="preserve">fourth </w:t>
      </w:r>
      <w:r w:rsidR="000D266F">
        <w:rPr>
          <w:sz w:val="24"/>
        </w:rPr>
        <w:t xml:space="preserve">chapter </w:t>
      </w:r>
      <w:r w:rsidR="00BE47A5">
        <w:rPr>
          <w:sz w:val="24"/>
        </w:rPr>
        <w:t xml:space="preserve">also </w:t>
      </w:r>
      <w:r w:rsidR="000D266F">
        <w:rPr>
          <w:sz w:val="24"/>
        </w:rPr>
        <w:t xml:space="preserve">explains the </w:t>
      </w:r>
      <w:r w:rsidR="00371127">
        <w:rPr>
          <w:sz w:val="24"/>
        </w:rPr>
        <w:t>continuation of this neoclassical ideal in mo</w:t>
      </w:r>
      <w:r w:rsidR="00C26B48">
        <w:rPr>
          <w:sz w:val="24"/>
        </w:rPr>
        <w:t>dern Nashville, and Nashvillian</w:t>
      </w:r>
      <w:r w:rsidR="00371127">
        <w:rPr>
          <w:sz w:val="24"/>
        </w:rPr>
        <w:t xml:space="preserve"> use of the cultural adaptions of the Parthenon and recreational use of Centennial Park. </w:t>
      </w:r>
      <w:r w:rsidR="008A5F94">
        <w:rPr>
          <w:sz w:val="24"/>
        </w:rPr>
        <w:t xml:space="preserve">An interesting detail about the full-scale replicated, adaptive reuse of the Parthenon is that it did not contain its most important element – Athena – until long after its </w:t>
      </w:r>
      <w:r w:rsidR="009941AD">
        <w:rPr>
          <w:sz w:val="24"/>
        </w:rPr>
        <w:t xml:space="preserve">reconstruction in Nashville. </w:t>
      </w:r>
    </w:p>
    <w:p w:rsidR="00667089" w:rsidRDefault="00266B06" w:rsidP="009D702D">
      <w:pPr>
        <w:spacing w:line="480" w:lineRule="auto"/>
        <w:ind w:firstLine="720"/>
        <w:contextualSpacing/>
        <w:rPr>
          <w:sz w:val="24"/>
        </w:rPr>
      </w:pPr>
      <w:r>
        <w:rPr>
          <w:sz w:val="24"/>
        </w:rPr>
        <w:t xml:space="preserve">This </w:t>
      </w:r>
      <w:r w:rsidR="00D253BF">
        <w:rPr>
          <w:sz w:val="24"/>
        </w:rPr>
        <w:t>thesis</w:t>
      </w:r>
      <w:r>
        <w:rPr>
          <w:sz w:val="24"/>
        </w:rPr>
        <w:t xml:space="preserve"> intends</w:t>
      </w:r>
      <w:r w:rsidR="002F6A6F">
        <w:rPr>
          <w:sz w:val="24"/>
        </w:rPr>
        <w:t xml:space="preserve"> to</w:t>
      </w:r>
      <w:r w:rsidR="007B34EE">
        <w:rPr>
          <w:sz w:val="24"/>
        </w:rPr>
        <w:t xml:space="preserve"> </w:t>
      </w:r>
      <w:r w:rsidR="002F6A6F">
        <w:rPr>
          <w:sz w:val="24"/>
        </w:rPr>
        <w:t xml:space="preserve">captivate and exhibit as accurately as possible </w:t>
      </w:r>
      <w:r w:rsidR="007B34EE">
        <w:rPr>
          <w:sz w:val="24"/>
        </w:rPr>
        <w:t xml:space="preserve">the Parthenon’s rich history and true legacy more than the romantic, nostalgic, and occasional commercial </w:t>
      </w:r>
      <w:r w:rsidR="007A3007">
        <w:rPr>
          <w:sz w:val="24"/>
        </w:rPr>
        <w:t xml:space="preserve">views of the Parthenon that numerously flood public thought and spectacle. </w:t>
      </w:r>
      <w:proofErr w:type="gramStart"/>
      <w:r w:rsidR="00D136CA">
        <w:rPr>
          <w:sz w:val="24"/>
        </w:rPr>
        <w:t>S</w:t>
      </w:r>
      <w:r w:rsidR="007A3007">
        <w:rPr>
          <w:sz w:val="24"/>
        </w:rPr>
        <w:t>eemingly</w:t>
      </w:r>
      <w:proofErr w:type="gramEnd"/>
      <w:r w:rsidR="007A3007">
        <w:rPr>
          <w:sz w:val="24"/>
        </w:rPr>
        <w:t xml:space="preserve"> </w:t>
      </w:r>
      <w:r w:rsidR="00D136CA">
        <w:rPr>
          <w:sz w:val="24"/>
        </w:rPr>
        <w:t xml:space="preserve">just </w:t>
      </w:r>
      <w:r w:rsidR="007A3007">
        <w:rPr>
          <w:sz w:val="24"/>
        </w:rPr>
        <w:t xml:space="preserve">a marble ruin of what used to be an architectural masterpiece, it becomes more </w:t>
      </w:r>
      <w:r w:rsidR="00424E93">
        <w:rPr>
          <w:sz w:val="24"/>
        </w:rPr>
        <w:t xml:space="preserve">transcendently meaningful </w:t>
      </w:r>
      <w:r w:rsidR="007A3007">
        <w:rPr>
          <w:sz w:val="24"/>
        </w:rPr>
        <w:t xml:space="preserve">with socialization and cultural </w:t>
      </w:r>
      <w:r w:rsidR="00424E93">
        <w:rPr>
          <w:sz w:val="24"/>
        </w:rPr>
        <w:t>identity</w:t>
      </w:r>
      <w:r w:rsidR="007A3007">
        <w:rPr>
          <w:sz w:val="24"/>
        </w:rPr>
        <w:t xml:space="preserve"> applied despite culture or location, and </w:t>
      </w:r>
      <w:r w:rsidR="00380D39">
        <w:rPr>
          <w:sz w:val="24"/>
        </w:rPr>
        <w:t xml:space="preserve">it </w:t>
      </w:r>
      <w:r w:rsidR="007A3007">
        <w:rPr>
          <w:sz w:val="24"/>
        </w:rPr>
        <w:t xml:space="preserve">transcends mere marble façade </w:t>
      </w:r>
      <w:r w:rsidR="00506B0A">
        <w:rPr>
          <w:sz w:val="24"/>
        </w:rPr>
        <w:t xml:space="preserve">throughout every culture and age. </w:t>
      </w:r>
      <w:r w:rsidR="00424E93">
        <w:rPr>
          <w:sz w:val="24"/>
        </w:rPr>
        <w:t>Perhaps t</w:t>
      </w:r>
      <w:r w:rsidR="00506B0A">
        <w:rPr>
          <w:sz w:val="24"/>
        </w:rPr>
        <w:t xml:space="preserve">he Parthenon was built “for all time” since many cultures, primarily </w:t>
      </w:r>
      <w:r w:rsidR="00424E93">
        <w:rPr>
          <w:sz w:val="24"/>
        </w:rPr>
        <w:t xml:space="preserve">the entire </w:t>
      </w:r>
      <w:r w:rsidR="00506B0A">
        <w:rPr>
          <w:sz w:val="24"/>
        </w:rPr>
        <w:t>Western</w:t>
      </w:r>
      <w:r w:rsidR="00424E93">
        <w:rPr>
          <w:sz w:val="24"/>
        </w:rPr>
        <w:t xml:space="preserve"> World</w:t>
      </w:r>
      <w:r w:rsidR="00506B0A">
        <w:rPr>
          <w:sz w:val="24"/>
        </w:rPr>
        <w:t xml:space="preserve">, place value and meaning in the crafted marble that grows and </w:t>
      </w:r>
      <w:r w:rsidR="00424E93">
        <w:rPr>
          <w:sz w:val="24"/>
        </w:rPr>
        <w:t>morphs</w:t>
      </w:r>
      <w:r w:rsidR="00506B0A">
        <w:rPr>
          <w:sz w:val="24"/>
        </w:rPr>
        <w:t xml:space="preserve"> </w:t>
      </w:r>
      <w:r w:rsidR="00D136CA">
        <w:rPr>
          <w:sz w:val="24"/>
        </w:rPr>
        <w:t xml:space="preserve">as a social symbol </w:t>
      </w:r>
      <w:r w:rsidR="004C6699">
        <w:rPr>
          <w:sz w:val="24"/>
        </w:rPr>
        <w:t>as wild</w:t>
      </w:r>
      <w:r w:rsidR="00506B0A">
        <w:rPr>
          <w:sz w:val="24"/>
        </w:rPr>
        <w:t xml:space="preserve"> and diverse as the ancient Greek’s enemies themselves. </w:t>
      </w:r>
      <w:r w:rsidR="002F6A6F">
        <w:rPr>
          <w:sz w:val="24"/>
        </w:rPr>
        <w:t>I</w:t>
      </w:r>
      <w:r w:rsidR="00E71357">
        <w:rPr>
          <w:sz w:val="24"/>
        </w:rPr>
        <w:t xml:space="preserve">n a new era of civilization, </w:t>
      </w:r>
      <w:r w:rsidR="002F6A6F">
        <w:rPr>
          <w:sz w:val="24"/>
        </w:rPr>
        <w:t xml:space="preserve">contemporary societies </w:t>
      </w:r>
      <w:r w:rsidR="00E71357">
        <w:rPr>
          <w:sz w:val="24"/>
        </w:rPr>
        <w:t xml:space="preserve">are now witness to the new meanings and reuses </w:t>
      </w:r>
      <w:r w:rsidR="00311AAD">
        <w:rPr>
          <w:sz w:val="24"/>
        </w:rPr>
        <w:t xml:space="preserve">of the Parthenon as it </w:t>
      </w:r>
      <w:r w:rsidR="00424E93">
        <w:rPr>
          <w:sz w:val="24"/>
        </w:rPr>
        <w:t>once again adapts in a world of ever-</w:t>
      </w:r>
      <w:r w:rsidR="00311AAD">
        <w:rPr>
          <w:sz w:val="24"/>
        </w:rPr>
        <w:t xml:space="preserve">changing cultures. </w:t>
      </w:r>
    </w:p>
    <w:p w:rsidR="004D5A62" w:rsidRDefault="004D5A62" w:rsidP="009D702D">
      <w:pPr>
        <w:spacing w:line="480" w:lineRule="auto"/>
        <w:ind w:firstLine="720"/>
        <w:contextualSpacing/>
        <w:rPr>
          <w:sz w:val="24"/>
        </w:rPr>
        <w:sectPr w:rsidR="004D5A62" w:rsidSect="001B7905">
          <w:headerReference w:type="default" r:id="rId9"/>
          <w:footerReference w:type="default" r:id="rId10"/>
          <w:pgSz w:w="12240" w:h="15840"/>
          <w:pgMar w:top="1440" w:right="1440" w:bottom="1440" w:left="2160" w:header="720" w:footer="720" w:gutter="0"/>
          <w:pgNumType w:fmt="lowerRoman" w:start="1"/>
          <w:cols w:space="720"/>
          <w:docGrid w:linePitch="360"/>
        </w:sectPr>
      </w:pPr>
    </w:p>
    <w:p w:rsidR="00EA1D05" w:rsidRPr="00667089" w:rsidRDefault="00311AAD" w:rsidP="005F43BB">
      <w:pPr>
        <w:pStyle w:val="Heading1"/>
        <w:spacing w:line="480" w:lineRule="auto"/>
        <w:contextualSpacing/>
        <w:jc w:val="center"/>
        <w:rPr>
          <w:i/>
        </w:rPr>
      </w:pPr>
      <w:bookmarkStart w:id="3" w:name="_Toc468630819"/>
      <w:r w:rsidRPr="00667089">
        <w:rPr>
          <w:i/>
        </w:rPr>
        <w:lastRenderedPageBreak/>
        <w:t xml:space="preserve">Chapter </w:t>
      </w:r>
      <w:bookmarkStart w:id="4" w:name="_Toc464922643"/>
      <w:r w:rsidR="00A00600">
        <w:rPr>
          <w:i/>
        </w:rPr>
        <w:t>I</w:t>
      </w:r>
      <w:r w:rsidR="009D702D">
        <w:rPr>
          <w:i/>
        </w:rPr>
        <w:t xml:space="preserve"> – Nashville</w:t>
      </w:r>
      <w:r w:rsidR="00EA1D05" w:rsidRPr="00667089">
        <w:rPr>
          <w:i/>
        </w:rPr>
        <w:t>, Tennessee: “The Athens of the South”</w:t>
      </w:r>
      <w:bookmarkEnd w:id="3"/>
      <w:bookmarkEnd w:id="4"/>
    </w:p>
    <w:p w:rsidR="00B25761" w:rsidRPr="00B25761" w:rsidRDefault="00B25761" w:rsidP="005F43BB">
      <w:pPr>
        <w:spacing w:line="480" w:lineRule="auto"/>
        <w:contextualSpacing/>
        <w:jc w:val="center"/>
        <w:rPr>
          <w:b/>
          <w:sz w:val="24"/>
          <w:u w:val="single"/>
        </w:rPr>
      </w:pPr>
    </w:p>
    <w:p w:rsidR="00EA1D05" w:rsidRDefault="00BF2B55" w:rsidP="005F43BB">
      <w:pPr>
        <w:spacing w:line="480" w:lineRule="auto"/>
        <w:contextualSpacing/>
        <w:rPr>
          <w:sz w:val="24"/>
        </w:rPr>
      </w:pPr>
      <w:r>
        <w:rPr>
          <w:sz w:val="24"/>
        </w:rPr>
        <w:tab/>
        <w:t>To the east lies the rocky tops and rolling hills of the Appalachians. To the west lies the wild and free Mississippi River</w:t>
      </w:r>
      <w:r w:rsidR="001B71E4">
        <w:rPr>
          <w:sz w:val="24"/>
        </w:rPr>
        <w:t xml:space="preserve"> –</w:t>
      </w:r>
      <w:r>
        <w:rPr>
          <w:sz w:val="24"/>
        </w:rPr>
        <w:t xml:space="preserve"> </w:t>
      </w:r>
      <w:r w:rsidR="001B71E4">
        <w:rPr>
          <w:sz w:val="24"/>
        </w:rPr>
        <w:t>t</w:t>
      </w:r>
      <w:r w:rsidR="00010F89">
        <w:rPr>
          <w:sz w:val="24"/>
        </w:rPr>
        <w:t xml:space="preserve">his is Middle Tennessee. </w:t>
      </w:r>
      <w:r w:rsidR="0045587D">
        <w:rPr>
          <w:sz w:val="24"/>
        </w:rPr>
        <w:t xml:space="preserve">This wide stretch of </w:t>
      </w:r>
      <w:r w:rsidR="001B71E4">
        <w:rPr>
          <w:sz w:val="24"/>
        </w:rPr>
        <w:t xml:space="preserve">fertile </w:t>
      </w:r>
      <w:r w:rsidR="0045587D">
        <w:rPr>
          <w:sz w:val="24"/>
        </w:rPr>
        <w:t>land was wilderness and unconquerable. John Egerton describes it</w:t>
      </w:r>
      <w:r w:rsidR="001B71E4">
        <w:rPr>
          <w:sz w:val="24"/>
        </w:rPr>
        <w:t>s freedom</w:t>
      </w:r>
      <w:r w:rsidR="006A2213">
        <w:rPr>
          <w:sz w:val="24"/>
        </w:rPr>
        <w:t xml:space="preserve"> well</w:t>
      </w:r>
      <w:r w:rsidR="0045587D">
        <w:rPr>
          <w:sz w:val="24"/>
        </w:rPr>
        <w:t>:</w:t>
      </w:r>
    </w:p>
    <w:p w:rsidR="0045587D" w:rsidRPr="0045587D" w:rsidRDefault="0045587D" w:rsidP="002D3A07">
      <w:pPr>
        <w:spacing w:line="480" w:lineRule="auto"/>
        <w:ind w:left="1440" w:firstLine="720"/>
        <w:contextualSpacing/>
        <w:rPr>
          <w:sz w:val="24"/>
        </w:rPr>
      </w:pPr>
      <w:r w:rsidRPr="0045587D">
        <w:rPr>
          <w:sz w:val="24"/>
        </w:rPr>
        <w:t xml:space="preserve">What </w:t>
      </w:r>
      <w:proofErr w:type="gramStart"/>
      <w:r w:rsidRPr="0045587D">
        <w:rPr>
          <w:sz w:val="24"/>
        </w:rPr>
        <w:t>would in time become</w:t>
      </w:r>
      <w:proofErr w:type="gramEnd"/>
      <w:r w:rsidRPr="0045587D">
        <w:rPr>
          <w:sz w:val="24"/>
        </w:rPr>
        <w:t xml:space="preserve"> Middle Tennessee was until early in the eighteenth century a home for the Shawnees, but their presence was never secure. It was a region of primeval beauty, an undisturbed wilderness garden of nature, and many besides the Shawnees coveted it: the Iroquois in the north, the Cherokees in the east, the Chickasaws in the west, the Creeks and </w:t>
      </w:r>
      <w:proofErr w:type="spellStart"/>
      <w:r w:rsidRPr="0045587D">
        <w:rPr>
          <w:sz w:val="24"/>
        </w:rPr>
        <w:t>Chocktaws</w:t>
      </w:r>
      <w:proofErr w:type="spellEnd"/>
      <w:r w:rsidRPr="0045587D">
        <w:rPr>
          <w:sz w:val="24"/>
        </w:rPr>
        <w:t xml:space="preserve"> in the south. Eventually, the Shawnees </w:t>
      </w:r>
      <w:proofErr w:type="gramStart"/>
      <w:r w:rsidRPr="0045587D">
        <w:rPr>
          <w:sz w:val="24"/>
        </w:rPr>
        <w:t>were driven</w:t>
      </w:r>
      <w:proofErr w:type="gramEnd"/>
      <w:r w:rsidRPr="0045587D">
        <w:rPr>
          <w:sz w:val="24"/>
        </w:rPr>
        <w:t xml:space="preserve"> out, leaving little behind except their name for the river: </w:t>
      </w:r>
      <w:proofErr w:type="spellStart"/>
      <w:r w:rsidRPr="0045587D">
        <w:rPr>
          <w:sz w:val="24"/>
        </w:rPr>
        <w:t>Warioto</w:t>
      </w:r>
      <w:proofErr w:type="spellEnd"/>
      <w:r w:rsidRPr="0045587D">
        <w:rPr>
          <w:sz w:val="24"/>
        </w:rPr>
        <w:t>.</w:t>
      </w:r>
    </w:p>
    <w:p w:rsidR="0045587D" w:rsidRDefault="0045587D" w:rsidP="002D3A07">
      <w:pPr>
        <w:spacing w:line="480" w:lineRule="auto"/>
        <w:ind w:left="1440" w:firstLine="720"/>
        <w:contextualSpacing/>
        <w:rPr>
          <w:sz w:val="24"/>
        </w:rPr>
      </w:pPr>
      <w:r w:rsidRPr="0045587D">
        <w:rPr>
          <w:sz w:val="24"/>
        </w:rPr>
        <w:t xml:space="preserve">For nearly three-quarters of a century, it </w:t>
      </w:r>
      <w:proofErr w:type="gramStart"/>
      <w:r w:rsidRPr="0045587D">
        <w:rPr>
          <w:sz w:val="24"/>
        </w:rPr>
        <w:t>was understood</w:t>
      </w:r>
      <w:proofErr w:type="gramEnd"/>
      <w:r w:rsidRPr="0045587D">
        <w:rPr>
          <w:sz w:val="24"/>
        </w:rPr>
        <w:t xml:space="preserve"> among the various Indian tribes and the handful of French trappers and traders who ventured here that this park-like expanse of forest and streams could be hunted and fished by all, but possessed by none. The Iroquois did in fact claim it but did not occupy it; until well past 1770, no one did.</w:t>
      </w:r>
      <w:r w:rsidR="002D3A07">
        <w:rPr>
          <w:rStyle w:val="FootnoteReference"/>
          <w:sz w:val="24"/>
        </w:rPr>
        <w:footnoteReference w:id="2"/>
      </w:r>
    </w:p>
    <w:p w:rsidR="006A2213" w:rsidRDefault="00A6026A" w:rsidP="00446B58">
      <w:pPr>
        <w:spacing w:line="480" w:lineRule="auto"/>
        <w:ind w:firstLine="720"/>
        <w:contextualSpacing/>
        <w:rPr>
          <w:sz w:val="24"/>
        </w:rPr>
      </w:pPr>
      <w:r>
        <w:rPr>
          <w:sz w:val="24"/>
        </w:rPr>
        <w:t>Indeed, we</w:t>
      </w:r>
      <w:r w:rsidR="00D74C87">
        <w:rPr>
          <w:sz w:val="24"/>
        </w:rPr>
        <w:t xml:space="preserve">ll past 1770, it </w:t>
      </w:r>
      <w:proofErr w:type="gramStart"/>
      <w:r w:rsidR="00D74C87">
        <w:rPr>
          <w:sz w:val="24"/>
        </w:rPr>
        <w:t xml:space="preserve">was </w:t>
      </w:r>
      <w:r w:rsidR="001B71E4">
        <w:rPr>
          <w:sz w:val="24"/>
        </w:rPr>
        <w:t>claimed</w:t>
      </w:r>
      <w:proofErr w:type="gramEnd"/>
      <w:r w:rsidR="00D74C87">
        <w:rPr>
          <w:sz w:val="24"/>
        </w:rPr>
        <w:t>.</w:t>
      </w:r>
    </w:p>
    <w:p w:rsidR="00B25761" w:rsidRDefault="009D702D" w:rsidP="006A2213">
      <w:pPr>
        <w:spacing w:line="480" w:lineRule="auto"/>
        <w:contextualSpacing/>
        <w:rPr>
          <w:sz w:val="24"/>
        </w:rPr>
      </w:pPr>
      <w:r>
        <w:rPr>
          <w:noProof/>
        </w:rPr>
        <w:lastRenderedPageBreak/>
        <mc:AlternateContent>
          <mc:Choice Requires="wps">
            <w:drawing>
              <wp:anchor distT="0" distB="0" distL="114300" distR="114300" simplePos="0" relativeHeight="251667456" behindDoc="0" locked="0" layoutInCell="1" allowOverlap="1" wp14:anchorId="14736565" wp14:editId="2A058CF0">
                <wp:simplePos x="0" y="0"/>
                <wp:positionH relativeFrom="column">
                  <wp:posOffset>73025</wp:posOffset>
                </wp:positionH>
                <wp:positionV relativeFrom="paragraph">
                  <wp:posOffset>3801110</wp:posOffset>
                </wp:positionV>
                <wp:extent cx="5854065" cy="635"/>
                <wp:effectExtent l="0" t="0" r="0" b="0"/>
                <wp:wrapTight wrapText="bothSides">
                  <wp:wrapPolygon edited="0">
                    <wp:start x="0" y="0"/>
                    <wp:lineTo x="0" y="19786"/>
                    <wp:lineTo x="21509" y="19786"/>
                    <wp:lineTo x="21509" y="0"/>
                    <wp:lineTo x="0" y="0"/>
                  </wp:wrapPolygon>
                </wp:wrapTight>
                <wp:docPr id="27" name="Text Box 27"/>
                <wp:cNvGraphicFramePr/>
                <a:graphic xmlns:a="http://schemas.openxmlformats.org/drawingml/2006/main">
                  <a:graphicData uri="http://schemas.microsoft.com/office/word/2010/wordprocessingShape">
                    <wps:wsp>
                      <wps:cNvSpPr txBox="1"/>
                      <wps:spPr>
                        <a:xfrm>
                          <a:off x="0" y="0"/>
                          <a:ext cx="5854065" cy="635"/>
                        </a:xfrm>
                        <a:prstGeom prst="rect">
                          <a:avLst/>
                        </a:prstGeom>
                        <a:solidFill>
                          <a:prstClr val="white"/>
                        </a:solidFill>
                        <a:ln>
                          <a:noFill/>
                        </a:ln>
                        <a:effectLst/>
                      </wps:spPr>
                      <wps:txbx>
                        <w:txbxContent>
                          <w:p w:rsidR="002F5AC7" w:rsidRPr="00240953" w:rsidRDefault="002F5AC7" w:rsidP="00240953">
                            <w:pPr>
                              <w:pStyle w:val="Heading2"/>
                              <w:jc w:val="center"/>
                            </w:pPr>
                            <w:bookmarkStart w:id="5" w:name="_Toc464923386"/>
                            <w:bookmarkStart w:id="6" w:name="_Toc468628569"/>
                            <w:bookmarkStart w:id="7" w:name="_Toc468648988"/>
                            <w:bookmarkStart w:id="8" w:name="_Toc468649015"/>
                            <w:r w:rsidRPr="00240953">
                              <w:t>Figure 1</w:t>
                            </w:r>
                            <w:r w:rsidRPr="00240953">
                              <w:noBreakHyphen/>
                            </w:r>
                            <w:r w:rsidRPr="00240953">
                              <w:fldChar w:fldCharType="begin"/>
                            </w:r>
                            <w:r w:rsidRPr="00240953">
                              <w:instrText xml:space="preserve"> SEQ Figure \* ARABIC \s 1 </w:instrText>
                            </w:r>
                            <w:r w:rsidRPr="00240953">
                              <w:fldChar w:fldCharType="separate"/>
                            </w:r>
                            <w:r w:rsidR="00FA56AB">
                              <w:rPr>
                                <w:noProof/>
                              </w:rPr>
                              <w:t>1</w:t>
                            </w:r>
                            <w:r w:rsidRPr="00240953">
                              <w:fldChar w:fldCharType="end"/>
                            </w:r>
                            <w:r w:rsidRPr="00240953">
                              <w:t>: Map of Middle Tennessee 1795</w:t>
                            </w:r>
                            <w:bookmarkEnd w:id="5"/>
                            <w:bookmarkEnd w:id="6"/>
                            <w:bookmarkEnd w:id="7"/>
                            <w:bookmarkEnd w:id="8"/>
                          </w:p>
                          <w:p w:rsidR="002F5AC7" w:rsidRPr="007A268B" w:rsidRDefault="002F5AC7" w:rsidP="00F0668B">
                            <w:pPr>
                              <w:spacing w:line="240" w:lineRule="auto"/>
                              <w:contextualSpacing/>
                              <w:jc w:val="center"/>
                              <w:rPr>
                                <w:noProof/>
                              </w:rPr>
                            </w:pPr>
                            <w:proofErr w:type="gramStart"/>
                            <w:r w:rsidRPr="007A268B">
                              <w:rPr>
                                <w:color w:val="4F81BD" w:themeColor="accent1"/>
                                <w:sz w:val="24"/>
                              </w:rPr>
                              <w:t>Courtesy of</w:t>
                            </w:r>
                            <w:r w:rsidRPr="007A268B">
                              <w:rPr>
                                <w:i/>
                                <w:color w:val="4F81BD" w:themeColor="accent1"/>
                                <w:sz w:val="24"/>
                              </w:rPr>
                              <w:t xml:space="preserve"> </w:t>
                            </w:r>
                            <w:r w:rsidRPr="007A268B">
                              <w:rPr>
                                <w:color w:val="4F81BD" w:themeColor="accent1"/>
                                <w:sz w:val="24"/>
                              </w:rPr>
                              <w:t>the Library of Congress</w:t>
                            </w:r>
                            <w:r>
                              <w:rPr>
                                <w:color w:val="4F81BD" w:themeColor="accent1"/>
                                <w:sz w:val="24"/>
                              </w:rPr>
                              <w:t>.</w:t>
                            </w:r>
                            <w:proofErr w:type="gramEnd"/>
                            <w:r>
                              <w:rPr>
                                <w:color w:val="4F81BD" w:themeColor="accent1"/>
                                <w:sz w:val="24"/>
                              </w:rPr>
                              <w:t xml:space="preserve"> </w:t>
                            </w:r>
                            <w:r w:rsidRPr="002714B4">
                              <w:rPr>
                                <w:color w:val="4F81BD" w:themeColor="accent1"/>
                                <w:sz w:val="24"/>
                              </w:rPr>
                              <w:t>John</w:t>
                            </w:r>
                            <w:r w:rsidRPr="00F30F6E">
                              <w:rPr>
                                <w:color w:val="4F81BD" w:themeColor="accent1"/>
                                <w:sz w:val="24"/>
                              </w:rPr>
                              <w:t xml:space="preserve"> </w:t>
                            </w:r>
                            <w:r>
                              <w:rPr>
                                <w:color w:val="4F81BD" w:themeColor="accent1"/>
                                <w:sz w:val="24"/>
                              </w:rPr>
                              <w:t>Reid</w:t>
                            </w:r>
                            <w:r w:rsidRPr="002714B4">
                              <w:rPr>
                                <w:color w:val="4F81BD" w:themeColor="accent1"/>
                                <w:sz w:val="24"/>
                              </w:rPr>
                              <w:t xml:space="preserve">, Publisher. </w:t>
                            </w:r>
                            <w:proofErr w:type="gramStart"/>
                            <w:r w:rsidRPr="002714B4">
                              <w:rPr>
                                <w:color w:val="4F81BD" w:themeColor="accent1"/>
                                <w:sz w:val="24"/>
                              </w:rPr>
                              <w:t>A map of the Tennessee government, formerly part of North Carolina.</w:t>
                            </w:r>
                            <w:proofErr w:type="gramEnd"/>
                            <w:r w:rsidRPr="002714B4">
                              <w:rPr>
                                <w:color w:val="4F81BD" w:themeColor="accent1"/>
                                <w:sz w:val="24"/>
                              </w:rPr>
                              <w:t xml:space="preserve"> [</w:t>
                            </w:r>
                            <w:proofErr w:type="spellStart"/>
                            <w:r w:rsidRPr="002714B4">
                              <w:rPr>
                                <w:color w:val="4F81BD" w:themeColor="accent1"/>
                                <w:sz w:val="24"/>
                              </w:rPr>
                              <w:t>S.l</w:t>
                            </w:r>
                            <w:proofErr w:type="spellEnd"/>
                            <w:r w:rsidRPr="002714B4">
                              <w:rPr>
                                <w:color w:val="4F81BD" w:themeColor="accent1"/>
                                <w:sz w:val="24"/>
                              </w:rPr>
                              <w:t xml:space="preserve">, 1795] </w:t>
                            </w:r>
                            <w:proofErr w:type="gramStart"/>
                            <w:r w:rsidRPr="002714B4">
                              <w:rPr>
                                <w:color w:val="4F81BD" w:themeColor="accent1"/>
                                <w:sz w:val="24"/>
                              </w:rPr>
                              <w:t>Map.</w:t>
                            </w:r>
                            <w:proofErr w:type="gramEnd"/>
                            <w:r w:rsidRPr="002714B4">
                              <w:rPr>
                                <w:color w:val="4F81BD" w:themeColor="accent1"/>
                                <w:sz w:val="24"/>
                              </w:rPr>
                              <w:t xml:space="preserve"> </w:t>
                            </w:r>
                            <w:proofErr w:type="gramStart"/>
                            <w:r w:rsidRPr="002714B4">
                              <w:rPr>
                                <w:color w:val="4F81BD" w:themeColor="accent1"/>
                                <w:sz w:val="24"/>
                              </w:rPr>
                              <w:t>Retrieved from the Library of Congress, https://www.loc.gov/item/99446175/.</w:t>
                            </w:r>
                            <w:proofErr w:type="gramEnd"/>
                            <w:r w:rsidRPr="002714B4">
                              <w:rPr>
                                <w:color w:val="4F81BD" w:themeColor="accent1"/>
                                <w:sz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5.75pt;margin-top:299.3pt;width:460.9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" stroked="f">
                <v:textbox style="mso-fit-shape-to-text:t" inset="0,0,0,0">
                  <w:txbxContent>
                    <w:p w:rsidR="002F5AC7" w:rsidRPr="00240953" w:rsidRDefault="002F5AC7" w:rsidP="00240953">
                      <w:pPr>
                        <w:pStyle w:val="Heading2"/>
                        <w:jc w:val="center"/>
                      </w:pPr>
                      <w:bookmarkStart w:id="9" w:name="_Toc464923386"/>
                      <w:bookmarkStart w:id="10" w:name="_Toc468628569"/>
                      <w:bookmarkStart w:id="11" w:name="_Toc468648988"/>
                      <w:bookmarkStart w:id="12" w:name="_Toc468649015"/>
                      <w:r w:rsidRPr="00240953">
                        <w:t>Figure 1</w:t>
                      </w:r>
                      <w:r w:rsidRPr="00240953">
                        <w:noBreakHyphen/>
                      </w:r>
                      <w:r w:rsidRPr="00240953">
                        <w:fldChar w:fldCharType="begin"/>
                      </w:r>
                      <w:r w:rsidRPr="00240953">
                        <w:instrText xml:space="preserve"> SEQ Figure \* ARABIC \s 1 </w:instrText>
                      </w:r>
                      <w:r w:rsidRPr="00240953">
                        <w:fldChar w:fldCharType="separate"/>
                      </w:r>
                      <w:r w:rsidR="00FA56AB">
                        <w:rPr>
                          <w:noProof/>
                        </w:rPr>
                        <w:t>1</w:t>
                      </w:r>
                      <w:r w:rsidRPr="00240953">
                        <w:fldChar w:fldCharType="end"/>
                      </w:r>
                      <w:r w:rsidRPr="00240953">
                        <w:t>: Map of Middle Tennessee 1795</w:t>
                      </w:r>
                      <w:bookmarkEnd w:id="9"/>
                      <w:bookmarkEnd w:id="10"/>
                      <w:bookmarkEnd w:id="11"/>
                      <w:bookmarkEnd w:id="12"/>
                    </w:p>
                    <w:p w:rsidR="002F5AC7" w:rsidRPr="007A268B" w:rsidRDefault="002F5AC7" w:rsidP="00F0668B">
                      <w:pPr>
                        <w:spacing w:line="240" w:lineRule="auto"/>
                        <w:contextualSpacing/>
                        <w:jc w:val="center"/>
                        <w:rPr>
                          <w:noProof/>
                        </w:rPr>
                      </w:pPr>
                      <w:proofErr w:type="gramStart"/>
                      <w:r w:rsidRPr="007A268B">
                        <w:rPr>
                          <w:color w:val="4F81BD" w:themeColor="accent1"/>
                          <w:sz w:val="24"/>
                        </w:rPr>
                        <w:t>Courtesy of</w:t>
                      </w:r>
                      <w:r w:rsidRPr="007A268B">
                        <w:rPr>
                          <w:i/>
                          <w:color w:val="4F81BD" w:themeColor="accent1"/>
                          <w:sz w:val="24"/>
                        </w:rPr>
                        <w:t xml:space="preserve"> </w:t>
                      </w:r>
                      <w:r w:rsidRPr="007A268B">
                        <w:rPr>
                          <w:color w:val="4F81BD" w:themeColor="accent1"/>
                          <w:sz w:val="24"/>
                        </w:rPr>
                        <w:t>the Library of Congress</w:t>
                      </w:r>
                      <w:r>
                        <w:rPr>
                          <w:color w:val="4F81BD" w:themeColor="accent1"/>
                          <w:sz w:val="24"/>
                        </w:rPr>
                        <w:t>.</w:t>
                      </w:r>
                      <w:proofErr w:type="gramEnd"/>
                      <w:r>
                        <w:rPr>
                          <w:color w:val="4F81BD" w:themeColor="accent1"/>
                          <w:sz w:val="24"/>
                        </w:rPr>
                        <w:t xml:space="preserve"> </w:t>
                      </w:r>
                      <w:r w:rsidRPr="002714B4">
                        <w:rPr>
                          <w:color w:val="4F81BD" w:themeColor="accent1"/>
                          <w:sz w:val="24"/>
                        </w:rPr>
                        <w:t>John</w:t>
                      </w:r>
                      <w:r w:rsidRPr="00F30F6E">
                        <w:rPr>
                          <w:color w:val="4F81BD" w:themeColor="accent1"/>
                          <w:sz w:val="24"/>
                        </w:rPr>
                        <w:t xml:space="preserve"> </w:t>
                      </w:r>
                      <w:r>
                        <w:rPr>
                          <w:color w:val="4F81BD" w:themeColor="accent1"/>
                          <w:sz w:val="24"/>
                        </w:rPr>
                        <w:t>Reid</w:t>
                      </w:r>
                      <w:r w:rsidRPr="002714B4">
                        <w:rPr>
                          <w:color w:val="4F81BD" w:themeColor="accent1"/>
                          <w:sz w:val="24"/>
                        </w:rPr>
                        <w:t xml:space="preserve">, Publisher. </w:t>
                      </w:r>
                      <w:proofErr w:type="gramStart"/>
                      <w:r w:rsidRPr="002714B4">
                        <w:rPr>
                          <w:color w:val="4F81BD" w:themeColor="accent1"/>
                          <w:sz w:val="24"/>
                        </w:rPr>
                        <w:t>A map of the Tennessee government, formerly part of North Carolina.</w:t>
                      </w:r>
                      <w:proofErr w:type="gramEnd"/>
                      <w:r w:rsidRPr="002714B4">
                        <w:rPr>
                          <w:color w:val="4F81BD" w:themeColor="accent1"/>
                          <w:sz w:val="24"/>
                        </w:rPr>
                        <w:t xml:space="preserve"> [</w:t>
                      </w:r>
                      <w:proofErr w:type="spellStart"/>
                      <w:r w:rsidRPr="002714B4">
                        <w:rPr>
                          <w:color w:val="4F81BD" w:themeColor="accent1"/>
                          <w:sz w:val="24"/>
                        </w:rPr>
                        <w:t>S.l</w:t>
                      </w:r>
                      <w:proofErr w:type="spellEnd"/>
                      <w:r w:rsidRPr="002714B4">
                        <w:rPr>
                          <w:color w:val="4F81BD" w:themeColor="accent1"/>
                          <w:sz w:val="24"/>
                        </w:rPr>
                        <w:t xml:space="preserve">, 1795] </w:t>
                      </w:r>
                      <w:proofErr w:type="gramStart"/>
                      <w:r w:rsidRPr="002714B4">
                        <w:rPr>
                          <w:color w:val="4F81BD" w:themeColor="accent1"/>
                          <w:sz w:val="24"/>
                        </w:rPr>
                        <w:t>Map.</w:t>
                      </w:r>
                      <w:proofErr w:type="gramEnd"/>
                      <w:r w:rsidRPr="002714B4">
                        <w:rPr>
                          <w:color w:val="4F81BD" w:themeColor="accent1"/>
                          <w:sz w:val="24"/>
                        </w:rPr>
                        <w:t xml:space="preserve"> </w:t>
                      </w:r>
                      <w:proofErr w:type="gramStart"/>
                      <w:r w:rsidRPr="002714B4">
                        <w:rPr>
                          <w:color w:val="4F81BD" w:themeColor="accent1"/>
                          <w:sz w:val="24"/>
                        </w:rPr>
                        <w:t>Retrieved from the Library of Congress, https://www.loc.gov/item/99446175/.</w:t>
                      </w:r>
                      <w:proofErr w:type="gramEnd"/>
                      <w:r w:rsidRPr="002714B4">
                        <w:rPr>
                          <w:color w:val="4F81BD" w:themeColor="accent1"/>
                          <w:sz w:val="24"/>
                        </w:rPr>
                        <w:t xml:space="preserve"> </w:t>
                      </w:r>
                    </w:p>
                  </w:txbxContent>
                </v:textbox>
                <w10:wrap type="tight"/>
              </v:shape>
            </w:pict>
          </mc:Fallback>
        </mc:AlternateContent>
      </w:r>
      <w:r w:rsidR="00D6266E" w:rsidRPr="00DB62FE">
        <w:rPr>
          <w:noProof/>
          <w:sz w:val="24"/>
        </w:rPr>
        <mc:AlternateContent>
          <mc:Choice Requires="wps">
            <w:drawing>
              <wp:anchor distT="0" distB="0" distL="114300" distR="114300" simplePos="0" relativeHeight="251665408" behindDoc="0" locked="0" layoutInCell="0" allowOverlap="1" wp14:anchorId="31FCA456" wp14:editId="44394637">
                <wp:simplePos x="0" y="0"/>
                <wp:positionH relativeFrom="margin">
                  <wp:align>center</wp:align>
                </wp:positionH>
                <wp:positionV relativeFrom="margin">
                  <wp:posOffset>3845560</wp:posOffset>
                </wp:positionV>
                <wp:extent cx="2762885" cy="283210"/>
                <wp:effectExtent l="0" t="0" r="0" b="2540"/>
                <wp:wrapSquare wrapText="bothSides"/>
                <wp:docPr id="6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3078" cy="283210"/>
                        </a:xfrm>
                        <a:prstGeom prst="rect">
                          <a:avLst/>
                        </a:prstGeom>
                        <a:noFill/>
                        <a:ln w="9525">
                          <a:noFill/>
                          <a:miter lim="800000"/>
                          <a:headEnd/>
                          <a:tailEnd/>
                        </a:ln>
                        <a:extLst>
                          <a:ext uri="{53640926-AAD7-44D8-BBD7-CCE9431645EC}">
                            <a14:shadowObscured xmlns:a14="http://schemas.microsoft.com/office/drawing/2010/main" val="1"/>
                          </a:ext>
                        </a:extLst>
                      </wps:spPr>
                      <wps:txbx>
                        <w:txbxContent>
                          <w:p w:rsidR="002F5AC7" w:rsidRDefault="002F5AC7" w:rsidP="00D6266E">
                            <w:pPr>
                              <w:pBdr>
                                <w:left w:val="single" w:sz="12" w:space="0" w:color="7BA0CD" w:themeColor="accent1" w:themeTint="BF"/>
                              </w:pBdr>
                              <w:spacing w:after="0"/>
                              <w:jc w:val="center"/>
                              <w:rPr>
                                <w:i/>
                                <w:iCs/>
                                <w:color w:val="4F81BD" w:themeColor="accent1"/>
                                <w:sz w:val="24"/>
                              </w:rPr>
                            </w:pPr>
                            <w:r>
                              <w:rPr>
                                <w:i/>
                                <w:iCs/>
                                <w:color w:val="4F81BD" w:themeColor="accent1"/>
                                <w:sz w:val="24"/>
                              </w:rPr>
                              <w:t>Figure 1: Map of Middle Tennessee 1795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0;margin-top:302.8pt;width:217.55pt;height:22.3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" o:allowincell="f" filled="f" stroked="f">
                <v:textbox>
                  <w:txbxContent>
                    <w:p w:rsidR="002F5AC7" w:rsidRDefault="002F5AC7" w:rsidP="00D6266E">
                      <w:pPr>
                        <w:pBdr>
                          <w:left w:val="single" w:sz="12" w:space="0" w:color="7BA0CD" w:themeColor="accent1" w:themeTint="BF"/>
                        </w:pBdr>
                        <w:spacing w:after="0"/>
                        <w:jc w:val="center"/>
                        <w:rPr>
                          <w:i/>
                          <w:iCs/>
                          <w:color w:val="4F81BD" w:themeColor="accent1"/>
                          <w:sz w:val="24"/>
                        </w:rPr>
                      </w:pPr>
                      <w:r>
                        <w:rPr>
                          <w:i/>
                          <w:iCs/>
                          <w:color w:val="4F81BD" w:themeColor="accent1"/>
                          <w:sz w:val="24"/>
                        </w:rPr>
                        <w:t>Figure 1: Map of Middle Tennessee 1795</w:t>
                      </w:r>
                    </w:p>
                  </w:txbxContent>
                </v:textbox>
                <w10:wrap type="square" anchorx="margin" anchory="margin"/>
              </v:shape>
            </w:pict>
          </mc:Fallback>
        </mc:AlternateContent>
      </w:r>
      <w:r w:rsidR="00D6266E">
        <w:rPr>
          <w:noProof/>
          <w:sz w:val="24"/>
        </w:rPr>
        <w:drawing>
          <wp:anchor distT="0" distB="0" distL="114300" distR="114300" simplePos="0" relativeHeight="251663360" behindDoc="1" locked="0" layoutInCell="1" allowOverlap="1" wp14:anchorId="6447970D" wp14:editId="297ABD38">
            <wp:simplePos x="0" y="0"/>
            <wp:positionH relativeFrom="margin">
              <wp:align>center</wp:align>
            </wp:positionH>
            <wp:positionV relativeFrom="paragraph">
              <wp:posOffset>-196850</wp:posOffset>
            </wp:positionV>
            <wp:extent cx="5854065" cy="4040505"/>
            <wp:effectExtent l="0" t="0" r="0" b="0"/>
            <wp:wrapTight wrapText="bothSides">
              <wp:wrapPolygon edited="0">
                <wp:start x="70" y="0"/>
                <wp:lineTo x="0" y="102"/>
                <wp:lineTo x="0" y="21284"/>
                <wp:lineTo x="70" y="21488"/>
                <wp:lineTo x="21438" y="21488"/>
                <wp:lineTo x="21509" y="21284"/>
                <wp:lineTo x="21509" y="102"/>
                <wp:lineTo x="21438" y="0"/>
                <wp:lineTo x="7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N 1795.jpg"/>
                    <pic:cNvPicPr/>
                  </pic:nvPicPr>
                  <pic:blipFill rotWithShape="1">
                    <a:blip r:embed="rId11">
                      <a:extLst>
                        <a:ext uri="{28A0092B-C50C-407E-A947-70E740481C1C}">
                          <a14:useLocalDpi xmlns:a14="http://schemas.microsoft.com/office/drawing/2010/main" val="0"/>
                        </a:ext>
                      </a:extLst>
                    </a:blip>
                    <a:srcRect l="28045" t="29791" r="46794" b="35628"/>
                    <a:stretch/>
                  </pic:blipFill>
                  <pic:spPr bwMode="auto">
                    <a:xfrm>
                      <a:off x="0" y="0"/>
                      <a:ext cx="5854065" cy="4040505"/>
                    </a:xfrm>
                    <a:prstGeom prst="rect">
                      <a:avLst/>
                    </a:prstGeom>
                    <a:ln>
                      <a:noFill/>
                    </a:ln>
                    <a:effectLst>
                      <a:softEdge rad="63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74C87">
        <w:rPr>
          <w:sz w:val="24"/>
        </w:rPr>
        <w:tab/>
      </w:r>
    </w:p>
    <w:p w:rsidR="0072582A" w:rsidRDefault="00D74C87" w:rsidP="00B25761">
      <w:pPr>
        <w:spacing w:line="480" w:lineRule="auto"/>
        <w:ind w:firstLine="720"/>
        <w:contextualSpacing/>
        <w:rPr>
          <w:sz w:val="24"/>
        </w:rPr>
      </w:pPr>
      <w:r>
        <w:rPr>
          <w:sz w:val="24"/>
        </w:rPr>
        <w:t xml:space="preserve">During the ruthless winter of 1779-1780, </w:t>
      </w:r>
      <w:r w:rsidR="00446B58">
        <w:rPr>
          <w:sz w:val="24"/>
        </w:rPr>
        <w:t xml:space="preserve">the first permanent settlers arrived at Cedar Bluff on the Cumberland River and attempted to </w:t>
      </w:r>
      <w:r w:rsidR="00AA3CEA">
        <w:rPr>
          <w:sz w:val="24"/>
        </w:rPr>
        <w:t xml:space="preserve">claim the land. </w:t>
      </w:r>
      <w:r w:rsidR="00EE35C5">
        <w:rPr>
          <w:sz w:val="24"/>
        </w:rPr>
        <w:t>Richard Henderson flipped this stretch of land by paying</w:t>
      </w:r>
      <w:r w:rsidR="00EE35C5" w:rsidRPr="00EE35C5">
        <w:t xml:space="preserve"> </w:t>
      </w:r>
      <w:r w:rsidR="00EE35C5">
        <w:rPr>
          <w:sz w:val="24"/>
        </w:rPr>
        <w:t xml:space="preserve">eight thousand pounds </w:t>
      </w:r>
      <w:r w:rsidR="00C94A38">
        <w:rPr>
          <w:sz w:val="24"/>
        </w:rPr>
        <w:t xml:space="preserve">to the local </w:t>
      </w:r>
      <w:r w:rsidR="005D3AC5">
        <w:rPr>
          <w:sz w:val="24"/>
        </w:rPr>
        <w:t>Cherokee tribe</w:t>
      </w:r>
      <w:r w:rsidR="00C94A38">
        <w:rPr>
          <w:sz w:val="24"/>
        </w:rPr>
        <w:t xml:space="preserve"> and selling it to Captain J</w:t>
      </w:r>
      <w:r w:rsidR="00454759">
        <w:rPr>
          <w:sz w:val="24"/>
        </w:rPr>
        <w:t xml:space="preserve">ames Robertson </w:t>
      </w:r>
      <w:r w:rsidR="00207F2B">
        <w:rPr>
          <w:sz w:val="24"/>
        </w:rPr>
        <w:t xml:space="preserve">(See Figure 1-2) </w:t>
      </w:r>
      <w:r w:rsidR="00454759">
        <w:rPr>
          <w:sz w:val="24"/>
        </w:rPr>
        <w:t>and his group of</w:t>
      </w:r>
      <w:r w:rsidR="00FC57F4">
        <w:rPr>
          <w:sz w:val="24"/>
        </w:rPr>
        <w:t xml:space="preserve"> </w:t>
      </w:r>
      <w:r w:rsidR="00454759">
        <w:rPr>
          <w:sz w:val="24"/>
        </w:rPr>
        <w:t>s</w:t>
      </w:r>
      <w:r w:rsidR="00C94A38">
        <w:rPr>
          <w:sz w:val="24"/>
        </w:rPr>
        <w:t xml:space="preserve">ettlers incoming from North Carolina. </w:t>
      </w:r>
      <w:r w:rsidR="00C26B19">
        <w:rPr>
          <w:sz w:val="24"/>
        </w:rPr>
        <w:t xml:space="preserve">These </w:t>
      </w:r>
      <w:r w:rsidR="001B71E4">
        <w:rPr>
          <w:sz w:val="24"/>
        </w:rPr>
        <w:t xml:space="preserve">settlers </w:t>
      </w:r>
      <w:r w:rsidR="00C26B19">
        <w:rPr>
          <w:sz w:val="24"/>
        </w:rPr>
        <w:t>numbered two to three hundred and packed cattle, supplies, and ho</w:t>
      </w:r>
      <w:r w:rsidR="0072582A">
        <w:rPr>
          <w:sz w:val="24"/>
        </w:rPr>
        <w:t>rses on their Westward journey</w:t>
      </w:r>
      <w:r w:rsidR="00C638B7">
        <w:rPr>
          <w:sz w:val="24"/>
        </w:rPr>
        <w:t xml:space="preserve"> and </w:t>
      </w:r>
      <w:r w:rsidR="005D3AC5">
        <w:rPr>
          <w:sz w:val="24"/>
        </w:rPr>
        <w:t xml:space="preserve">settled </w:t>
      </w:r>
      <w:r w:rsidR="0042549C">
        <w:rPr>
          <w:sz w:val="24"/>
        </w:rPr>
        <w:t>around the Cedar Bluff and French Lick region</w:t>
      </w:r>
      <w:r w:rsidR="00207F2B">
        <w:rPr>
          <w:sz w:val="24"/>
        </w:rPr>
        <w:t xml:space="preserve"> (See Figure 1-1)</w:t>
      </w:r>
      <w:r w:rsidR="0042549C">
        <w:rPr>
          <w:sz w:val="24"/>
        </w:rPr>
        <w:t>. However, before too long, they began to ex</w:t>
      </w:r>
      <w:r w:rsidR="00BD4E41">
        <w:rPr>
          <w:sz w:val="24"/>
        </w:rPr>
        <w:t>perience an</w:t>
      </w:r>
      <w:r w:rsidR="0042549C">
        <w:rPr>
          <w:sz w:val="24"/>
        </w:rPr>
        <w:t>xi</w:t>
      </w:r>
      <w:r w:rsidR="00BD4E41">
        <w:rPr>
          <w:sz w:val="24"/>
        </w:rPr>
        <w:t>e</w:t>
      </w:r>
      <w:r w:rsidR="0042549C">
        <w:rPr>
          <w:sz w:val="24"/>
        </w:rPr>
        <w:t xml:space="preserve">ty concerning their lasting </w:t>
      </w:r>
      <w:r w:rsidR="00D77C23">
        <w:rPr>
          <w:sz w:val="24"/>
        </w:rPr>
        <w:t>security,</w:t>
      </w:r>
      <w:r w:rsidR="0042549C">
        <w:rPr>
          <w:sz w:val="24"/>
        </w:rPr>
        <w:t xml:space="preserve"> as other Native </w:t>
      </w:r>
      <w:r w:rsidR="0042549C">
        <w:rPr>
          <w:sz w:val="24"/>
        </w:rPr>
        <w:lastRenderedPageBreak/>
        <w:t xml:space="preserve">American tribes did not wish to honor the Cherokee’s transaction with Henderson. Thus </w:t>
      </w:r>
      <w:proofErr w:type="gramStart"/>
      <w:r w:rsidR="0042549C">
        <w:rPr>
          <w:sz w:val="24"/>
        </w:rPr>
        <w:t>was built</w:t>
      </w:r>
      <w:proofErr w:type="gramEnd"/>
      <w:r w:rsidR="0042549C">
        <w:rPr>
          <w:sz w:val="24"/>
        </w:rPr>
        <w:t xml:space="preserve"> Fort </w:t>
      </w:r>
      <w:proofErr w:type="spellStart"/>
      <w:r w:rsidR="0042549C">
        <w:rPr>
          <w:sz w:val="24"/>
        </w:rPr>
        <w:t>Nashboro</w:t>
      </w:r>
      <w:proofErr w:type="spellEnd"/>
      <w:r w:rsidR="0042549C">
        <w:rPr>
          <w:sz w:val="24"/>
        </w:rPr>
        <w:t xml:space="preserve">. </w:t>
      </w:r>
      <w:r w:rsidR="00AB5F4E">
        <w:rPr>
          <w:sz w:val="24"/>
        </w:rPr>
        <w:t xml:space="preserve">The skilled carpenters and American Revolutionary veterans utilized their unique tools and the local black locust trees </w:t>
      </w:r>
      <w:r w:rsidR="002E7BE5">
        <w:rPr>
          <w:sz w:val="24"/>
        </w:rPr>
        <w:t xml:space="preserve">to build the first work of Middle Tennessee architecture that fortressed the growing Western culture. </w:t>
      </w:r>
      <w:r w:rsidR="00BD4E41">
        <w:rPr>
          <w:sz w:val="24"/>
        </w:rPr>
        <w:t xml:space="preserve">It seemed as though the land might still be entirely unconquerable due to </w:t>
      </w:r>
      <w:r w:rsidR="0077245A">
        <w:rPr>
          <w:sz w:val="24"/>
        </w:rPr>
        <w:t>the friction between cultures</w:t>
      </w:r>
      <w:r w:rsidR="00BD4E41">
        <w:rPr>
          <w:sz w:val="24"/>
        </w:rPr>
        <w:t xml:space="preserve">. </w:t>
      </w:r>
    </w:p>
    <w:p w:rsidR="00A97959" w:rsidRPr="003E1C3F" w:rsidRDefault="005D037E" w:rsidP="003E1C3F">
      <w:pPr>
        <w:spacing w:line="480" w:lineRule="auto"/>
        <w:ind w:firstLine="720"/>
        <w:contextualSpacing/>
        <w:rPr>
          <w:sz w:val="24"/>
        </w:rPr>
      </w:pPr>
      <w:r>
        <w:rPr>
          <w:noProof/>
          <w:sz w:val="24"/>
        </w:rPr>
        <w:drawing>
          <wp:anchor distT="0" distB="0" distL="114300" distR="114300" simplePos="0" relativeHeight="251668480" behindDoc="1" locked="0" layoutInCell="1" allowOverlap="1" wp14:anchorId="64B9CB9B" wp14:editId="46C4F756">
            <wp:simplePos x="0" y="0"/>
            <wp:positionH relativeFrom="column">
              <wp:posOffset>-23495</wp:posOffset>
            </wp:positionH>
            <wp:positionV relativeFrom="paragraph">
              <wp:posOffset>1265555</wp:posOffset>
            </wp:positionV>
            <wp:extent cx="4104640" cy="3716655"/>
            <wp:effectExtent l="0" t="0" r="0" b="0"/>
            <wp:wrapTight wrapText="bothSides">
              <wp:wrapPolygon edited="0">
                <wp:start x="301" y="0"/>
                <wp:lineTo x="0" y="443"/>
                <wp:lineTo x="0" y="20593"/>
                <wp:lineTo x="100" y="21368"/>
                <wp:lineTo x="301" y="21478"/>
                <wp:lineTo x="21152" y="21478"/>
                <wp:lineTo x="21353" y="21368"/>
                <wp:lineTo x="21453" y="20593"/>
                <wp:lineTo x="21453" y="443"/>
                <wp:lineTo x="21152" y="0"/>
                <wp:lineTo x="301" y="0"/>
              </wp:wrapPolygon>
            </wp:wrapTight>
            <wp:docPr id="5" name="Picture 5" descr="C:\Users\Luke\Desktop\Robert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ke\Desktop\Robertson.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04640" cy="3716655"/>
                    </a:xfrm>
                    <a:prstGeom prst="rect">
                      <a:avLst/>
                    </a:prstGeom>
                    <a:noFill/>
                    <a:ln>
                      <a:noFill/>
                    </a:ln>
                    <a:effectLst>
                      <a:softEdge rad="127000"/>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0528" behindDoc="0" locked="0" layoutInCell="1" allowOverlap="1" wp14:anchorId="0D518C04" wp14:editId="0C752CE7">
                <wp:simplePos x="0" y="0"/>
                <wp:positionH relativeFrom="column">
                  <wp:posOffset>-20320</wp:posOffset>
                </wp:positionH>
                <wp:positionV relativeFrom="paragraph">
                  <wp:posOffset>4972050</wp:posOffset>
                </wp:positionV>
                <wp:extent cx="4104640" cy="1003300"/>
                <wp:effectExtent l="0" t="0" r="0" b="6350"/>
                <wp:wrapTight wrapText="bothSides">
                  <wp:wrapPolygon edited="0">
                    <wp:start x="0" y="0"/>
                    <wp:lineTo x="0" y="21327"/>
                    <wp:lineTo x="21453" y="21327"/>
                    <wp:lineTo x="21453" y="0"/>
                    <wp:lineTo x="0" y="0"/>
                  </wp:wrapPolygon>
                </wp:wrapTight>
                <wp:docPr id="28" name="Text Box 28"/>
                <wp:cNvGraphicFramePr/>
                <a:graphic xmlns:a="http://schemas.openxmlformats.org/drawingml/2006/main">
                  <a:graphicData uri="http://schemas.microsoft.com/office/word/2010/wordprocessingShape">
                    <wps:wsp>
                      <wps:cNvSpPr txBox="1"/>
                      <wps:spPr>
                        <a:xfrm>
                          <a:off x="0" y="0"/>
                          <a:ext cx="4104640" cy="1003300"/>
                        </a:xfrm>
                        <a:prstGeom prst="rect">
                          <a:avLst/>
                        </a:prstGeom>
                        <a:solidFill>
                          <a:prstClr val="white"/>
                        </a:solidFill>
                        <a:ln>
                          <a:noFill/>
                        </a:ln>
                        <a:effectLst/>
                      </wps:spPr>
                      <wps:txbx>
                        <w:txbxContent>
                          <w:p w:rsidR="002F5AC7" w:rsidRPr="00240953" w:rsidRDefault="002F5AC7" w:rsidP="00240953">
                            <w:pPr>
                              <w:pStyle w:val="Heading2"/>
                              <w:jc w:val="center"/>
                            </w:pPr>
                            <w:bookmarkStart w:id="13" w:name="_Toc468628570"/>
                            <w:bookmarkStart w:id="14" w:name="_Toc468648989"/>
                            <w:bookmarkStart w:id="15" w:name="_Toc468649016"/>
                            <w:r w:rsidRPr="00240953">
                              <w:t>Figure 1</w:t>
                            </w:r>
                            <w:r w:rsidRPr="00240953">
                              <w:noBreakHyphen/>
                            </w:r>
                            <w:r w:rsidRPr="00240953">
                              <w:fldChar w:fldCharType="begin"/>
                            </w:r>
                            <w:r w:rsidRPr="00240953">
                              <w:instrText xml:space="preserve"> SEQ Figure \* ARABIC \s 1 </w:instrText>
                            </w:r>
                            <w:r w:rsidRPr="00240953">
                              <w:fldChar w:fldCharType="separate"/>
                            </w:r>
                            <w:r w:rsidR="00FA56AB">
                              <w:rPr>
                                <w:noProof/>
                              </w:rPr>
                              <w:t>2</w:t>
                            </w:r>
                            <w:r w:rsidRPr="00240953">
                              <w:fldChar w:fldCharType="end"/>
                            </w:r>
                            <w:r w:rsidRPr="00240953">
                              <w:t>: Captain James Robertson</w:t>
                            </w:r>
                            <w:bookmarkEnd w:id="13"/>
                            <w:bookmarkEnd w:id="14"/>
                            <w:bookmarkEnd w:id="15"/>
                          </w:p>
                          <w:p w:rsidR="002F5AC7" w:rsidRPr="00571740" w:rsidRDefault="002F5AC7" w:rsidP="00B00484">
                            <w:pPr>
                              <w:pStyle w:val="Caption"/>
                              <w:contextualSpacing/>
                              <w:jc w:val="center"/>
                              <w:rPr>
                                <w:b w:val="0"/>
                                <w:sz w:val="36"/>
                              </w:rPr>
                            </w:pPr>
                            <w:proofErr w:type="gramStart"/>
                            <w:r w:rsidRPr="002E6DBB">
                              <w:rPr>
                                <w:b w:val="0"/>
                                <w:sz w:val="24"/>
                              </w:rPr>
                              <w:t xml:space="preserve">Reprinted from H.W. Crew, </w:t>
                            </w:r>
                            <w:r w:rsidRPr="002E6DBB">
                              <w:rPr>
                                <w:b w:val="0"/>
                                <w:i/>
                                <w:sz w:val="24"/>
                              </w:rPr>
                              <w:t>The History of Nashville Tennessee</w:t>
                            </w:r>
                            <w:r w:rsidRPr="002E6DBB">
                              <w:rPr>
                                <w:b w:val="0"/>
                                <w:sz w:val="24"/>
                              </w:rPr>
                              <w:t xml:space="preserve"> </w:t>
                            </w:r>
                            <w:r>
                              <w:rPr>
                                <w:b w:val="0"/>
                                <w:sz w:val="24"/>
                              </w:rPr>
                              <w:t>(Nashville: Publishing House of the Methodist Episcopal Church, South, Barbee &amp; Smith, 1890), 2.</w:t>
                            </w:r>
                            <w:proofErr w:type="gramEnd"/>
                          </w:p>
                          <w:p w:rsidR="002F5AC7" w:rsidRPr="00571740" w:rsidRDefault="002F5AC7" w:rsidP="00571740"/>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8" o:spid="_x0000_s1028" type="#_x0000_t202" style="position:absolute;left:0;text-align:left;margin-left:-1.6pt;margin-top:391.5pt;width:323.2pt;height:79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" stroked="f">
                <v:textbox inset="0,0,0,0">
                  <w:txbxContent>
                    <w:p w:rsidR="002F5AC7" w:rsidRPr="00240953" w:rsidRDefault="002F5AC7" w:rsidP="00240953">
                      <w:pPr>
                        <w:pStyle w:val="Heading2"/>
                        <w:jc w:val="center"/>
                      </w:pPr>
                      <w:bookmarkStart w:id="16" w:name="_Toc468628570"/>
                      <w:bookmarkStart w:id="17" w:name="_Toc468648989"/>
                      <w:bookmarkStart w:id="18" w:name="_Toc468649016"/>
                      <w:r w:rsidRPr="00240953">
                        <w:t>Figure 1</w:t>
                      </w:r>
                      <w:r w:rsidRPr="00240953">
                        <w:noBreakHyphen/>
                      </w:r>
                      <w:r w:rsidRPr="00240953">
                        <w:fldChar w:fldCharType="begin"/>
                      </w:r>
                      <w:r w:rsidRPr="00240953">
                        <w:instrText xml:space="preserve"> SEQ Figure \* ARABIC \s 1 </w:instrText>
                      </w:r>
                      <w:r w:rsidRPr="00240953">
                        <w:fldChar w:fldCharType="separate"/>
                      </w:r>
                      <w:r w:rsidR="00FA56AB">
                        <w:rPr>
                          <w:noProof/>
                        </w:rPr>
                        <w:t>2</w:t>
                      </w:r>
                      <w:r w:rsidRPr="00240953">
                        <w:fldChar w:fldCharType="end"/>
                      </w:r>
                      <w:r w:rsidRPr="00240953">
                        <w:t>: Captain James Robertson</w:t>
                      </w:r>
                      <w:bookmarkEnd w:id="16"/>
                      <w:bookmarkEnd w:id="17"/>
                      <w:bookmarkEnd w:id="18"/>
                    </w:p>
                    <w:p w:rsidR="002F5AC7" w:rsidRPr="00571740" w:rsidRDefault="002F5AC7" w:rsidP="00B00484">
                      <w:pPr>
                        <w:pStyle w:val="Caption"/>
                        <w:contextualSpacing/>
                        <w:jc w:val="center"/>
                        <w:rPr>
                          <w:b w:val="0"/>
                          <w:sz w:val="36"/>
                        </w:rPr>
                      </w:pPr>
                      <w:proofErr w:type="gramStart"/>
                      <w:r w:rsidRPr="002E6DBB">
                        <w:rPr>
                          <w:b w:val="0"/>
                          <w:sz w:val="24"/>
                        </w:rPr>
                        <w:t xml:space="preserve">Reprinted from H.W. Crew, </w:t>
                      </w:r>
                      <w:r w:rsidRPr="002E6DBB">
                        <w:rPr>
                          <w:b w:val="0"/>
                          <w:i/>
                          <w:sz w:val="24"/>
                        </w:rPr>
                        <w:t>The History of Nashville Tennessee</w:t>
                      </w:r>
                      <w:r w:rsidRPr="002E6DBB">
                        <w:rPr>
                          <w:b w:val="0"/>
                          <w:sz w:val="24"/>
                        </w:rPr>
                        <w:t xml:space="preserve"> </w:t>
                      </w:r>
                      <w:r>
                        <w:rPr>
                          <w:b w:val="0"/>
                          <w:sz w:val="24"/>
                        </w:rPr>
                        <w:t>(Nashville: Publishing House of the Methodist Episcopal Church, South, Barbee &amp; Smith, 1890), 2.</w:t>
                      </w:r>
                      <w:proofErr w:type="gramEnd"/>
                    </w:p>
                    <w:p w:rsidR="002F5AC7" w:rsidRPr="00571740" w:rsidRDefault="002F5AC7" w:rsidP="00571740"/>
                  </w:txbxContent>
                </v:textbox>
                <w10:wrap type="tight"/>
              </v:shape>
            </w:pict>
          </mc:Fallback>
        </mc:AlternateContent>
      </w:r>
      <w:r w:rsidR="0072582A">
        <w:rPr>
          <w:sz w:val="24"/>
        </w:rPr>
        <w:t xml:space="preserve">It is important to note that the region had, in fact, been </w:t>
      </w:r>
      <w:r>
        <w:rPr>
          <w:sz w:val="24"/>
        </w:rPr>
        <w:t>explored</w:t>
      </w:r>
      <w:r w:rsidR="0072582A">
        <w:rPr>
          <w:sz w:val="24"/>
        </w:rPr>
        <w:t xml:space="preserve"> before as French trappers and American hunters often utilized the area for their respec</w:t>
      </w:r>
      <w:r w:rsidR="006A11AB">
        <w:rPr>
          <w:sz w:val="24"/>
        </w:rPr>
        <w:t>tive trades due to the increase in</w:t>
      </w:r>
      <w:r w:rsidR="0072582A">
        <w:rPr>
          <w:sz w:val="24"/>
        </w:rPr>
        <w:t xml:space="preserve"> animal population, which was due to the presence of salt </w:t>
      </w:r>
      <w:r w:rsidR="005D3AC5">
        <w:rPr>
          <w:sz w:val="24"/>
        </w:rPr>
        <w:t xml:space="preserve">and bluegrass </w:t>
      </w:r>
      <w:r w:rsidR="0072582A">
        <w:rPr>
          <w:sz w:val="24"/>
        </w:rPr>
        <w:t xml:space="preserve">in the region. </w:t>
      </w:r>
      <w:r w:rsidR="0077245A">
        <w:rPr>
          <w:sz w:val="24"/>
        </w:rPr>
        <w:t xml:space="preserve">It certainly aided the ability to acquire and preserve meat. </w:t>
      </w:r>
      <w:r w:rsidR="0072582A">
        <w:rPr>
          <w:sz w:val="24"/>
        </w:rPr>
        <w:t xml:space="preserve">Following some of these </w:t>
      </w:r>
      <w:r w:rsidR="0077245A">
        <w:rPr>
          <w:sz w:val="24"/>
        </w:rPr>
        <w:t xml:space="preserve">profitable </w:t>
      </w:r>
      <w:r w:rsidR="0072582A">
        <w:rPr>
          <w:sz w:val="24"/>
        </w:rPr>
        <w:t xml:space="preserve">game paths, the settlers ventured into their future and what they deemed their land. </w:t>
      </w:r>
      <w:r w:rsidR="005D3AC5">
        <w:rPr>
          <w:sz w:val="24"/>
        </w:rPr>
        <w:t xml:space="preserve">Even today, some of </w:t>
      </w:r>
      <w:r w:rsidR="005D3AC5">
        <w:rPr>
          <w:sz w:val="24"/>
        </w:rPr>
        <w:lastRenderedPageBreak/>
        <w:t xml:space="preserve">these paths are now main highways leading into Nashville. </w:t>
      </w:r>
    </w:p>
    <w:p w:rsidR="00D74C87" w:rsidRDefault="00703670" w:rsidP="003E1C3F">
      <w:pPr>
        <w:spacing w:line="480" w:lineRule="auto"/>
        <w:ind w:firstLine="720"/>
        <w:contextualSpacing/>
        <w:rPr>
          <w:sz w:val="24"/>
        </w:rPr>
      </w:pPr>
      <w:r>
        <w:rPr>
          <w:sz w:val="24"/>
        </w:rPr>
        <w:t>While Captain Robertson led the supplies and cattle by land, others joined him by water.</w:t>
      </w:r>
      <w:r w:rsidR="003E1C3F">
        <w:rPr>
          <w:sz w:val="24"/>
        </w:rPr>
        <w:t xml:space="preserve"> </w:t>
      </w:r>
      <w:r>
        <w:rPr>
          <w:sz w:val="24"/>
        </w:rPr>
        <w:t>John Donelson led these three hundred women and children</w:t>
      </w:r>
      <w:r w:rsidR="00C26B19">
        <w:rPr>
          <w:sz w:val="24"/>
        </w:rPr>
        <w:t xml:space="preserve"> </w:t>
      </w:r>
      <w:r>
        <w:rPr>
          <w:sz w:val="24"/>
        </w:rPr>
        <w:t>on</w:t>
      </w:r>
      <w:r w:rsidR="00C26B19">
        <w:rPr>
          <w:sz w:val="24"/>
        </w:rPr>
        <w:t xml:space="preserve"> flatboat by means of the Holston, Tennessee, Ohio, and Cumberland Rivers, respectively.</w:t>
      </w:r>
      <w:r w:rsidR="00155C70">
        <w:rPr>
          <w:sz w:val="24"/>
        </w:rPr>
        <w:t xml:space="preserve"> Nearing a thousand in population in a short time, the </w:t>
      </w:r>
      <w:r w:rsidR="00D15124">
        <w:rPr>
          <w:sz w:val="24"/>
        </w:rPr>
        <w:t xml:space="preserve">settler’s </w:t>
      </w:r>
      <w:r w:rsidR="00155C70">
        <w:rPr>
          <w:sz w:val="24"/>
        </w:rPr>
        <w:t xml:space="preserve">credit for populating the Middle Tennessee area largely goes to Captain Robertson for </w:t>
      </w:r>
      <w:r w:rsidR="00A76CB3">
        <w:rPr>
          <w:sz w:val="24"/>
        </w:rPr>
        <w:t>his constant trail blazing and w</w:t>
      </w:r>
      <w:r w:rsidR="00155C70">
        <w:rPr>
          <w:sz w:val="24"/>
        </w:rPr>
        <w:t xml:space="preserve">estward expansion recruitment. </w:t>
      </w:r>
    </w:p>
    <w:p w:rsidR="00155C70" w:rsidRDefault="00155C70" w:rsidP="00703670">
      <w:pPr>
        <w:spacing w:line="480" w:lineRule="auto"/>
        <w:contextualSpacing/>
        <w:rPr>
          <w:sz w:val="24"/>
        </w:rPr>
      </w:pPr>
      <w:r>
        <w:rPr>
          <w:sz w:val="24"/>
        </w:rPr>
        <w:tab/>
        <w:t xml:space="preserve">Many years later, after Fort </w:t>
      </w:r>
      <w:proofErr w:type="spellStart"/>
      <w:r>
        <w:rPr>
          <w:sz w:val="24"/>
        </w:rPr>
        <w:t>Nashboro</w:t>
      </w:r>
      <w:proofErr w:type="spellEnd"/>
      <w:r>
        <w:rPr>
          <w:sz w:val="24"/>
        </w:rPr>
        <w:t xml:space="preserve"> </w:t>
      </w:r>
      <w:proofErr w:type="gramStart"/>
      <w:r>
        <w:rPr>
          <w:sz w:val="24"/>
        </w:rPr>
        <w:t xml:space="preserve">was </w:t>
      </w:r>
      <w:r w:rsidR="0024010A">
        <w:rPr>
          <w:sz w:val="24"/>
        </w:rPr>
        <w:t>thoroughly</w:t>
      </w:r>
      <w:r>
        <w:rPr>
          <w:sz w:val="24"/>
        </w:rPr>
        <w:t xml:space="preserve"> settled, established, and maintained,</w:t>
      </w:r>
      <w:proofErr w:type="gramEnd"/>
      <w:r>
        <w:rPr>
          <w:sz w:val="24"/>
        </w:rPr>
        <w:t xml:space="preserve"> and the Native American threat had </w:t>
      </w:r>
      <w:r w:rsidR="003F2C10">
        <w:rPr>
          <w:sz w:val="24"/>
        </w:rPr>
        <w:t xml:space="preserve">been </w:t>
      </w:r>
      <w:r>
        <w:rPr>
          <w:sz w:val="24"/>
        </w:rPr>
        <w:t xml:space="preserve">drastically reduced, Captain James Robertson moved his family </w:t>
      </w:r>
      <w:r w:rsidR="001E58C1">
        <w:rPr>
          <w:sz w:val="24"/>
        </w:rPr>
        <w:t>just away from the fort to build and work a farm on land now know</w:t>
      </w:r>
      <w:r w:rsidR="003F2C10">
        <w:rPr>
          <w:sz w:val="24"/>
        </w:rPr>
        <w:t>n</w:t>
      </w:r>
      <w:r w:rsidR="001E58C1">
        <w:rPr>
          <w:sz w:val="24"/>
        </w:rPr>
        <w:t xml:space="preserve"> </w:t>
      </w:r>
      <w:r w:rsidR="002E6F9A">
        <w:rPr>
          <w:sz w:val="24"/>
        </w:rPr>
        <w:t>to be in the heart of Nashville</w:t>
      </w:r>
      <w:r w:rsidR="001E58C1">
        <w:rPr>
          <w:sz w:val="24"/>
        </w:rPr>
        <w:t xml:space="preserve">. </w:t>
      </w:r>
      <w:r w:rsidR="002E6F9A">
        <w:rPr>
          <w:sz w:val="24"/>
        </w:rPr>
        <w:t>A</w:t>
      </w:r>
      <w:r w:rsidR="00F45239">
        <w:rPr>
          <w:sz w:val="24"/>
        </w:rPr>
        <w:t xml:space="preserve">ccording to the </w:t>
      </w:r>
      <w:r w:rsidR="00690225">
        <w:rPr>
          <w:sz w:val="24"/>
        </w:rPr>
        <w:t xml:space="preserve">claims and </w:t>
      </w:r>
      <w:r w:rsidR="00F45239">
        <w:rPr>
          <w:sz w:val="24"/>
        </w:rPr>
        <w:t xml:space="preserve">research of Wilbur Foster Creighton, a youth at the Centennial Exposition and </w:t>
      </w:r>
      <w:r w:rsidR="00690225">
        <w:rPr>
          <w:sz w:val="24"/>
        </w:rPr>
        <w:t>contractor</w:t>
      </w:r>
      <w:r w:rsidR="00F45239">
        <w:rPr>
          <w:sz w:val="24"/>
        </w:rPr>
        <w:t xml:space="preserve"> of the Parthenon in the 1920s, Captain James Robertson</w:t>
      </w:r>
      <w:r w:rsidR="00690225">
        <w:rPr>
          <w:sz w:val="24"/>
        </w:rPr>
        <w:t xml:space="preserve"> </w:t>
      </w:r>
      <w:r w:rsidR="00F45239">
        <w:rPr>
          <w:sz w:val="24"/>
        </w:rPr>
        <w:t xml:space="preserve">owned and farmed land that </w:t>
      </w:r>
      <w:proofErr w:type="gramStart"/>
      <w:r w:rsidR="00B12B6F">
        <w:rPr>
          <w:sz w:val="24"/>
        </w:rPr>
        <w:t xml:space="preserve">is </w:t>
      </w:r>
      <w:r w:rsidR="00F45239">
        <w:rPr>
          <w:sz w:val="24"/>
        </w:rPr>
        <w:t>now recognize</w:t>
      </w:r>
      <w:r w:rsidR="00690225">
        <w:rPr>
          <w:sz w:val="24"/>
        </w:rPr>
        <w:t>d</w:t>
      </w:r>
      <w:proofErr w:type="gramEnd"/>
      <w:r w:rsidR="00F45239">
        <w:rPr>
          <w:sz w:val="24"/>
        </w:rPr>
        <w:t xml:space="preserve"> as </w:t>
      </w:r>
      <w:r w:rsidR="00690225">
        <w:rPr>
          <w:sz w:val="24"/>
        </w:rPr>
        <w:t xml:space="preserve">Centennial Park – </w:t>
      </w:r>
      <w:r w:rsidR="00F45239">
        <w:rPr>
          <w:sz w:val="24"/>
        </w:rPr>
        <w:t xml:space="preserve">the crowning </w:t>
      </w:r>
      <w:r w:rsidR="002E6F9A">
        <w:rPr>
          <w:sz w:val="24"/>
        </w:rPr>
        <w:t xml:space="preserve">cultural center in the heart of Nashville. </w:t>
      </w:r>
      <w:r w:rsidR="00F45239">
        <w:rPr>
          <w:sz w:val="24"/>
        </w:rPr>
        <w:t xml:space="preserve"> </w:t>
      </w:r>
    </w:p>
    <w:p w:rsidR="007C6578" w:rsidRDefault="007C6578" w:rsidP="00703670">
      <w:pPr>
        <w:spacing w:line="480" w:lineRule="auto"/>
        <w:contextualSpacing/>
        <w:rPr>
          <w:sz w:val="24"/>
        </w:rPr>
      </w:pPr>
      <w:r>
        <w:rPr>
          <w:sz w:val="24"/>
        </w:rPr>
        <w:tab/>
      </w:r>
      <w:r w:rsidR="00A50196">
        <w:rPr>
          <w:sz w:val="24"/>
        </w:rPr>
        <w:t xml:space="preserve">Research </w:t>
      </w:r>
      <w:r w:rsidR="007579C6">
        <w:rPr>
          <w:sz w:val="24"/>
        </w:rPr>
        <w:t>reveals</w:t>
      </w:r>
      <w:r w:rsidR="00A50196">
        <w:rPr>
          <w:sz w:val="24"/>
        </w:rPr>
        <w:t xml:space="preserve"> that </w:t>
      </w:r>
      <w:r w:rsidR="00527A9E">
        <w:rPr>
          <w:sz w:val="24"/>
        </w:rPr>
        <w:t xml:space="preserve">in 1783, John Cockrill, who was Robertson’s brother-in-law, </w:t>
      </w:r>
      <w:r w:rsidR="002C49FE">
        <w:rPr>
          <w:sz w:val="24"/>
        </w:rPr>
        <w:t>married Ann Robertson Johns</w:t>
      </w:r>
      <w:r w:rsidR="00EB42D1">
        <w:rPr>
          <w:sz w:val="24"/>
        </w:rPr>
        <w:t>t</w:t>
      </w:r>
      <w:r w:rsidR="002C49FE">
        <w:rPr>
          <w:sz w:val="24"/>
        </w:rPr>
        <w:t xml:space="preserve">on, who had received the 640 acres of land as a grant from the </w:t>
      </w:r>
      <w:r w:rsidR="004D5224">
        <w:rPr>
          <w:sz w:val="24"/>
        </w:rPr>
        <w:t>North Carolina Legislature</w:t>
      </w:r>
      <w:r w:rsidR="0051347C">
        <w:rPr>
          <w:sz w:val="24"/>
        </w:rPr>
        <w:t xml:space="preserve"> after her first husband died</w:t>
      </w:r>
      <w:r w:rsidR="004D5224">
        <w:rPr>
          <w:sz w:val="24"/>
        </w:rPr>
        <w:t>, becoming the first woman in Tennessee to receive a land grant in her own name</w:t>
      </w:r>
      <w:r w:rsidR="00527A9E">
        <w:rPr>
          <w:sz w:val="24"/>
        </w:rPr>
        <w:t>.</w:t>
      </w:r>
      <w:r w:rsidR="004D5224">
        <w:rPr>
          <w:rStyle w:val="FootnoteReference"/>
          <w:sz w:val="24"/>
        </w:rPr>
        <w:footnoteReference w:id="3"/>
      </w:r>
      <w:r w:rsidR="00527A9E">
        <w:rPr>
          <w:sz w:val="24"/>
        </w:rPr>
        <w:t xml:space="preserve"> </w:t>
      </w:r>
      <w:r w:rsidR="000E1FAF">
        <w:rPr>
          <w:sz w:val="24"/>
        </w:rPr>
        <w:t xml:space="preserve">The </w:t>
      </w:r>
      <w:proofErr w:type="gramStart"/>
      <w:r w:rsidR="000E1FAF">
        <w:rPr>
          <w:sz w:val="24"/>
        </w:rPr>
        <w:t>land,</w:t>
      </w:r>
      <w:proofErr w:type="gramEnd"/>
      <w:r w:rsidR="000E1FAF">
        <w:rPr>
          <w:sz w:val="24"/>
        </w:rPr>
        <w:t xml:space="preserve"> and more specifically, the Cockrill house stood just near a spring that traveled northeast to feed into the French Lick, showing that the land was </w:t>
      </w:r>
      <w:r w:rsidR="00472F14">
        <w:rPr>
          <w:sz w:val="24"/>
        </w:rPr>
        <w:t xml:space="preserve">chosen and </w:t>
      </w:r>
      <w:r w:rsidR="000E1FAF">
        <w:rPr>
          <w:sz w:val="24"/>
        </w:rPr>
        <w:t xml:space="preserve">settled </w:t>
      </w:r>
      <w:r w:rsidR="0051347C">
        <w:rPr>
          <w:sz w:val="24"/>
        </w:rPr>
        <w:t>because of its</w:t>
      </w:r>
      <w:r w:rsidR="000E1FAF">
        <w:rPr>
          <w:sz w:val="24"/>
        </w:rPr>
        <w:t xml:space="preserve"> natural </w:t>
      </w:r>
      <w:r w:rsidR="00825A06">
        <w:rPr>
          <w:sz w:val="24"/>
        </w:rPr>
        <w:lastRenderedPageBreak/>
        <w:t>features and promising stability for the private settlement.</w:t>
      </w:r>
      <w:r w:rsidR="00984F65">
        <w:rPr>
          <w:rStyle w:val="FootnoteReference"/>
          <w:sz w:val="24"/>
        </w:rPr>
        <w:footnoteReference w:id="4"/>
      </w:r>
      <w:r w:rsidR="00825A06">
        <w:rPr>
          <w:sz w:val="24"/>
        </w:rPr>
        <w:t xml:space="preserve"> </w:t>
      </w:r>
      <w:r w:rsidR="00854F62">
        <w:rPr>
          <w:sz w:val="24"/>
        </w:rPr>
        <w:t>Thus, the</w:t>
      </w:r>
      <w:r w:rsidR="00527A9E">
        <w:rPr>
          <w:sz w:val="24"/>
        </w:rPr>
        <w:t xml:space="preserve"> </w:t>
      </w:r>
      <w:r w:rsidR="00825A06">
        <w:rPr>
          <w:sz w:val="24"/>
        </w:rPr>
        <w:t xml:space="preserve">ideal farming </w:t>
      </w:r>
      <w:r w:rsidR="00527A9E">
        <w:rPr>
          <w:sz w:val="24"/>
        </w:rPr>
        <w:t xml:space="preserve">land that was to play an influential role in Nashville’s </w:t>
      </w:r>
      <w:r w:rsidR="00DB5757">
        <w:rPr>
          <w:sz w:val="24"/>
        </w:rPr>
        <w:t xml:space="preserve">future </w:t>
      </w:r>
      <w:r w:rsidR="00527A9E">
        <w:rPr>
          <w:sz w:val="24"/>
        </w:rPr>
        <w:t>identit</w:t>
      </w:r>
      <w:r w:rsidR="00DB5757">
        <w:rPr>
          <w:sz w:val="24"/>
        </w:rPr>
        <w:t>ies</w:t>
      </w:r>
      <w:r w:rsidR="00527A9E">
        <w:rPr>
          <w:sz w:val="24"/>
        </w:rPr>
        <w:t xml:space="preserve"> </w:t>
      </w:r>
      <w:proofErr w:type="gramStart"/>
      <w:r w:rsidR="00854F62">
        <w:rPr>
          <w:sz w:val="24"/>
        </w:rPr>
        <w:t>is</w:t>
      </w:r>
      <w:r w:rsidR="00527A9E">
        <w:rPr>
          <w:sz w:val="24"/>
        </w:rPr>
        <w:t xml:space="preserve"> tied</w:t>
      </w:r>
      <w:proofErr w:type="gramEnd"/>
      <w:r w:rsidR="00527A9E">
        <w:rPr>
          <w:sz w:val="24"/>
        </w:rPr>
        <w:t xml:space="preserve"> back to th</w:t>
      </w:r>
      <w:r w:rsidR="00952446">
        <w:rPr>
          <w:sz w:val="24"/>
        </w:rPr>
        <w:t>e earliest elite heroes</w:t>
      </w:r>
      <w:r w:rsidR="00825A06">
        <w:rPr>
          <w:sz w:val="24"/>
        </w:rPr>
        <w:t xml:space="preserve"> </w:t>
      </w:r>
      <w:r w:rsidR="002C49FE">
        <w:rPr>
          <w:sz w:val="24"/>
        </w:rPr>
        <w:t>– the</w:t>
      </w:r>
      <w:r w:rsidR="00952446">
        <w:rPr>
          <w:sz w:val="24"/>
        </w:rPr>
        <w:t xml:space="preserve"> founders of Nashville. </w:t>
      </w:r>
      <w:r w:rsidR="00825A06">
        <w:rPr>
          <w:sz w:val="24"/>
        </w:rPr>
        <w:t>However,</w:t>
      </w:r>
      <w:r w:rsidR="00952446">
        <w:rPr>
          <w:sz w:val="24"/>
        </w:rPr>
        <w:t xml:space="preserve"> women played an important role – one that in this case, </w:t>
      </w:r>
      <w:proofErr w:type="gramStart"/>
      <w:r w:rsidR="00952446">
        <w:rPr>
          <w:sz w:val="24"/>
        </w:rPr>
        <w:t>must not be forgotten</w:t>
      </w:r>
      <w:proofErr w:type="gramEnd"/>
      <w:r w:rsidR="00952446">
        <w:rPr>
          <w:sz w:val="24"/>
        </w:rPr>
        <w:t xml:space="preserve">. Ann Robertson </w:t>
      </w:r>
      <w:r w:rsidR="002C49FE">
        <w:rPr>
          <w:sz w:val="24"/>
        </w:rPr>
        <w:t>Johns</w:t>
      </w:r>
      <w:r w:rsidR="00EB42D1">
        <w:rPr>
          <w:sz w:val="24"/>
        </w:rPr>
        <w:t>t</w:t>
      </w:r>
      <w:r w:rsidR="002C49FE">
        <w:rPr>
          <w:sz w:val="24"/>
        </w:rPr>
        <w:t xml:space="preserve">on </w:t>
      </w:r>
      <w:r w:rsidR="00952446">
        <w:rPr>
          <w:sz w:val="24"/>
        </w:rPr>
        <w:t xml:space="preserve">Cockrill, wife of John Cockrill and sister of James Robertson, </w:t>
      </w:r>
      <w:r w:rsidR="00AB4005">
        <w:rPr>
          <w:sz w:val="24"/>
        </w:rPr>
        <w:t>was solely responsible for organizing students, becoming Nashville’s first teacher, along with establishing Nashville’s first Sunday school program.</w:t>
      </w:r>
      <w:r w:rsidR="007579C6">
        <w:rPr>
          <w:rStyle w:val="FootnoteReference"/>
          <w:sz w:val="24"/>
        </w:rPr>
        <w:footnoteReference w:id="5"/>
      </w:r>
      <w:r w:rsidR="00AB4005">
        <w:rPr>
          <w:sz w:val="24"/>
        </w:rPr>
        <w:t xml:space="preserve"> </w:t>
      </w:r>
      <w:r w:rsidR="00825A06">
        <w:rPr>
          <w:sz w:val="24"/>
        </w:rPr>
        <w:t xml:space="preserve">Nashville’s elite members were not always the trail-blazing men, but also the courageous women who ensured that the future </w:t>
      </w:r>
      <w:r w:rsidR="00854F62">
        <w:rPr>
          <w:sz w:val="24"/>
        </w:rPr>
        <w:t xml:space="preserve">generations of </w:t>
      </w:r>
      <w:r w:rsidR="00825A06">
        <w:rPr>
          <w:sz w:val="24"/>
        </w:rPr>
        <w:t xml:space="preserve">“Nashvillians” would </w:t>
      </w:r>
      <w:r w:rsidR="004E743F">
        <w:rPr>
          <w:sz w:val="24"/>
        </w:rPr>
        <w:t>be well educated</w:t>
      </w:r>
      <w:r w:rsidR="00854F62">
        <w:rPr>
          <w:sz w:val="24"/>
        </w:rPr>
        <w:t>.</w:t>
      </w:r>
      <w:r w:rsidR="00201A88">
        <w:rPr>
          <w:sz w:val="24"/>
        </w:rPr>
        <w:t xml:space="preserve"> </w:t>
      </w:r>
    </w:p>
    <w:p w:rsidR="00F82E88" w:rsidRDefault="00F82E88" w:rsidP="00703670">
      <w:pPr>
        <w:spacing w:line="480" w:lineRule="auto"/>
        <w:contextualSpacing/>
        <w:rPr>
          <w:sz w:val="24"/>
        </w:rPr>
      </w:pPr>
      <w:r>
        <w:rPr>
          <w:sz w:val="24"/>
        </w:rPr>
        <w:tab/>
        <w:t xml:space="preserve">The matter of education was to play an important role in Nashville’s development, and often, many knowledgeable people tend to credit </w:t>
      </w:r>
      <w:r w:rsidR="00DB5757">
        <w:rPr>
          <w:sz w:val="24"/>
        </w:rPr>
        <w:t xml:space="preserve">education alone </w:t>
      </w:r>
      <w:r>
        <w:rPr>
          <w:sz w:val="24"/>
        </w:rPr>
        <w:t xml:space="preserve">for any lofty classical identification Nashville might have with the past. </w:t>
      </w:r>
      <w:proofErr w:type="gramStart"/>
      <w:r>
        <w:rPr>
          <w:sz w:val="24"/>
        </w:rPr>
        <w:t>But</w:t>
      </w:r>
      <w:proofErr w:type="gramEnd"/>
      <w:r>
        <w:rPr>
          <w:sz w:val="24"/>
        </w:rPr>
        <w:t xml:space="preserve"> the most important </w:t>
      </w:r>
      <w:r w:rsidR="00BD1ED7">
        <w:rPr>
          <w:sz w:val="24"/>
        </w:rPr>
        <w:t>factor</w:t>
      </w:r>
      <w:r>
        <w:rPr>
          <w:sz w:val="24"/>
        </w:rPr>
        <w:t xml:space="preserve"> in the development and growth of Nashville’s identity, as the </w:t>
      </w:r>
      <w:r w:rsidR="00924EB3">
        <w:rPr>
          <w:sz w:val="24"/>
        </w:rPr>
        <w:t xml:space="preserve">individuals wished to unite under one social image or role, </w:t>
      </w:r>
      <w:r w:rsidR="00BD1ED7">
        <w:rPr>
          <w:sz w:val="24"/>
        </w:rPr>
        <w:t>was</w:t>
      </w:r>
      <w:r w:rsidR="00924EB3">
        <w:rPr>
          <w:sz w:val="24"/>
        </w:rPr>
        <w:t xml:space="preserve"> the Romantic movement. Years after the Renaissance</w:t>
      </w:r>
      <w:r w:rsidR="00334954">
        <w:rPr>
          <w:sz w:val="24"/>
        </w:rPr>
        <w:t xml:space="preserve"> and Enlightenment</w:t>
      </w:r>
      <w:r w:rsidR="00924EB3">
        <w:rPr>
          <w:sz w:val="24"/>
        </w:rPr>
        <w:t xml:space="preserve">, the ideal for classical sophistication grew. As </w:t>
      </w:r>
      <w:r w:rsidR="00BD1ED7">
        <w:rPr>
          <w:sz w:val="24"/>
        </w:rPr>
        <w:t>the nation began spreading its w</w:t>
      </w:r>
      <w:r w:rsidR="00924EB3">
        <w:rPr>
          <w:sz w:val="24"/>
        </w:rPr>
        <w:t>estern border after the War of Independence</w:t>
      </w:r>
      <w:r w:rsidR="00334954">
        <w:rPr>
          <w:sz w:val="24"/>
        </w:rPr>
        <w:t xml:space="preserve"> and establishing </w:t>
      </w:r>
      <w:r w:rsidR="00924EB3">
        <w:rPr>
          <w:sz w:val="24"/>
        </w:rPr>
        <w:t>a democratic government</w:t>
      </w:r>
      <w:r w:rsidR="00CB3A5D">
        <w:rPr>
          <w:sz w:val="24"/>
        </w:rPr>
        <w:t>, the population grew and spread rap</w:t>
      </w:r>
      <w:r w:rsidR="00A87C9D">
        <w:rPr>
          <w:sz w:val="24"/>
        </w:rPr>
        <w:t xml:space="preserve">idly. Along with this expansion, the </w:t>
      </w:r>
      <w:r w:rsidR="00CB3A5D">
        <w:rPr>
          <w:sz w:val="24"/>
        </w:rPr>
        <w:t>cultural ideals of the ancient classical world</w:t>
      </w:r>
      <w:r w:rsidR="00A87C9D" w:rsidRPr="00A87C9D">
        <w:rPr>
          <w:sz w:val="24"/>
        </w:rPr>
        <w:t xml:space="preserve"> </w:t>
      </w:r>
      <w:proofErr w:type="gramStart"/>
      <w:r w:rsidR="00A87C9D">
        <w:rPr>
          <w:sz w:val="24"/>
        </w:rPr>
        <w:t>were transplanted</w:t>
      </w:r>
      <w:proofErr w:type="gramEnd"/>
      <w:r w:rsidR="00A87C9D">
        <w:rPr>
          <w:sz w:val="24"/>
        </w:rPr>
        <w:t xml:space="preserve"> to the new social centers of the nation.</w:t>
      </w:r>
      <w:r w:rsidR="00CB3A5D">
        <w:rPr>
          <w:sz w:val="24"/>
        </w:rPr>
        <w:t xml:space="preserve"> Certainly, the classical </w:t>
      </w:r>
      <w:r w:rsidR="00CB3A5D">
        <w:rPr>
          <w:sz w:val="24"/>
        </w:rPr>
        <w:lastRenderedPageBreak/>
        <w:t>world and its images sent messages of sophistication and pride</w:t>
      </w:r>
      <w:r w:rsidR="00A87C9D">
        <w:rPr>
          <w:sz w:val="24"/>
        </w:rPr>
        <w:t>, democracy and elitism</w:t>
      </w:r>
      <w:r w:rsidR="00CB3A5D">
        <w:rPr>
          <w:sz w:val="24"/>
        </w:rPr>
        <w:t xml:space="preserve">. Schools and seminaries heavily instructed </w:t>
      </w:r>
      <w:r w:rsidR="00BD1ED7">
        <w:rPr>
          <w:sz w:val="24"/>
        </w:rPr>
        <w:t xml:space="preserve">students in </w:t>
      </w:r>
      <w:r w:rsidR="00CB3A5D">
        <w:rPr>
          <w:sz w:val="24"/>
        </w:rPr>
        <w:t>the classical languages</w:t>
      </w:r>
      <w:r w:rsidR="00850CE0">
        <w:rPr>
          <w:sz w:val="24"/>
        </w:rPr>
        <w:t>,</w:t>
      </w:r>
      <w:r w:rsidR="00CB3A5D">
        <w:rPr>
          <w:sz w:val="24"/>
        </w:rPr>
        <w:t xml:space="preserve"> and the physical </w:t>
      </w:r>
      <w:r w:rsidR="00850CE0">
        <w:rPr>
          <w:sz w:val="24"/>
        </w:rPr>
        <w:t>representations of such knowledge were</w:t>
      </w:r>
      <w:r w:rsidR="00CB3A5D">
        <w:rPr>
          <w:sz w:val="24"/>
        </w:rPr>
        <w:t xml:space="preserve"> evident most clearly in the architecture across the nation, </w:t>
      </w:r>
      <w:r w:rsidR="00BD1ED7">
        <w:rPr>
          <w:sz w:val="24"/>
        </w:rPr>
        <w:t>including</w:t>
      </w:r>
      <w:r w:rsidR="00CB3A5D">
        <w:rPr>
          <w:sz w:val="24"/>
        </w:rPr>
        <w:t xml:space="preserve"> in the Middle Tennessee area. </w:t>
      </w:r>
    </w:p>
    <w:p w:rsidR="00334954" w:rsidRDefault="00A87C9D" w:rsidP="00703670">
      <w:pPr>
        <w:spacing w:line="480" w:lineRule="auto"/>
        <w:contextualSpacing/>
        <w:rPr>
          <w:sz w:val="24"/>
        </w:rPr>
      </w:pPr>
      <w:r>
        <w:rPr>
          <w:sz w:val="24"/>
        </w:rPr>
        <w:tab/>
        <w:t xml:space="preserve">The origins of the </w:t>
      </w:r>
      <w:r w:rsidR="00B30BF3">
        <w:rPr>
          <w:sz w:val="24"/>
        </w:rPr>
        <w:t xml:space="preserve">classical architecture movement </w:t>
      </w:r>
      <w:proofErr w:type="gramStart"/>
      <w:r w:rsidR="00B30BF3">
        <w:rPr>
          <w:sz w:val="24"/>
        </w:rPr>
        <w:t>can be largely attributed</w:t>
      </w:r>
      <w:proofErr w:type="gramEnd"/>
      <w:r w:rsidR="00B30BF3">
        <w:rPr>
          <w:sz w:val="24"/>
        </w:rPr>
        <w:t xml:space="preserve"> to Thomas Jefferson</w:t>
      </w:r>
      <w:r w:rsidR="0080366B">
        <w:rPr>
          <w:sz w:val="24"/>
        </w:rPr>
        <w:t>. Thomas Jefferson designed the Virginia State Capital in 1789,</w:t>
      </w:r>
      <w:r w:rsidR="00CF6B62">
        <w:rPr>
          <w:rStyle w:val="FootnoteReference"/>
          <w:sz w:val="24"/>
        </w:rPr>
        <w:footnoteReference w:id="6"/>
      </w:r>
      <w:r w:rsidR="0080366B">
        <w:rPr>
          <w:sz w:val="24"/>
        </w:rPr>
        <w:t xml:space="preserve"> becoming the first American leader to plan </w:t>
      </w:r>
      <w:r w:rsidR="00494E0E">
        <w:rPr>
          <w:sz w:val="24"/>
        </w:rPr>
        <w:t>new government buildings after ancient architecture.</w:t>
      </w:r>
      <w:r w:rsidR="00CF6B62">
        <w:rPr>
          <w:rStyle w:val="FootnoteReference"/>
          <w:sz w:val="24"/>
        </w:rPr>
        <w:footnoteReference w:id="7"/>
      </w:r>
      <w:r w:rsidR="00D106EE">
        <w:rPr>
          <w:sz w:val="24"/>
        </w:rPr>
        <w:t xml:space="preserve"> Of course, this passion </w:t>
      </w:r>
      <w:r w:rsidR="00040FE0">
        <w:rPr>
          <w:sz w:val="24"/>
        </w:rPr>
        <w:t>for</w:t>
      </w:r>
      <w:r w:rsidR="00D106EE">
        <w:rPr>
          <w:sz w:val="24"/>
        </w:rPr>
        <w:t xml:space="preserve"> ancient architecture </w:t>
      </w:r>
      <w:proofErr w:type="gramStart"/>
      <w:r w:rsidR="00D106EE">
        <w:rPr>
          <w:sz w:val="24"/>
        </w:rPr>
        <w:t>was no doubt fueled</w:t>
      </w:r>
      <w:proofErr w:type="gramEnd"/>
      <w:r w:rsidR="00D106EE">
        <w:rPr>
          <w:sz w:val="24"/>
        </w:rPr>
        <w:t xml:space="preserve"> </w:t>
      </w:r>
      <w:r w:rsidR="00103A25">
        <w:rPr>
          <w:sz w:val="24"/>
        </w:rPr>
        <w:t xml:space="preserve">by the emphasis </w:t>
      </w:r>
      <w:r w:rsidR="009C556D">
        <w:rPr>
          <w:sz w:val="24"/>
        </w:rPr>
        <w:t xml:space="preserve">on and desirability of </w:t>
      </w:r>
      <w:r w:rsidR="00103A25">
        <w:rPr>
          <w:sz w:val="24"/>
        </w:rPr>
        <w:t xml:space="preserve">classical education </w:t>
      </w:r>
      <w:r w:rsidR="009C556D">
        <w:rPr>
          <w:sz w:val="24"/>
        </w:rPr>
        <w:t xml:space="preserve">of the </w:t>
      </w:r>
      <w:r w:rsidR="00103A25">
        <w:rPr>
          <w:sz w:val="24"/>
        </w:rPr>
        <w:t>elite. Some</w:t>
      </w:r>
      <w:r w:rsidR="00850CE0">
        <w:rPr>
          <w:sz w:val="24"/>
        </w:rPr>
        <w:t xml:space="preserve">one was well educated if </w:t>
      </w:r>
      <w:r w:rsidR="00040FE0">
        <w:rPr>
          <w:sz w:val="24"/>
        </w:rPr>
        <w:t>he or she was</w:t>
      </w:r>
      <w:r w:rsidR="00850CE0">
        <w:rPr>
          <w:sz w:val="24"/>
        </w:rPr>
        <w:t xml:space="preserve"> familiar with the classical cannon of languages and literatures. Even Sam Houston</w:t>
      </w:r>
      <w:r w:rsidR="008306E9">
        <w:rPr>
          <w:sz w:val="24"/>
        </w:rPr>
        <w:t xml:space="preserve">, </w:t>
      </w:r>
      <w:r w:rsidR="007377F5">
        <w:rPr>
          <w:sz w:val="24"/>
        </w:rPr>
        <w:t>Tennessee Congressman</w:t>
      </w:r>
      <w:r w:rsidR="008306E9">
        <w:rPr>
          <w:sz w:val="24"/>
        </w:rPr>
        <w:t xml:space="preserve"> in 1823 and </w:t>
      </w:r>
      <w:r w:rsidR="00F758CA">
        <w:rPr>
          <w:sz w:val="24"/>
        </w:rPr>
        <w:t>Tennessee G</w:t>
      </w:r>
      <w:r w:rsidR="008306E9">
        <w:rPr>
          <w:sz w:val="24"/>
        </w:rPr>
        <w:t>overnor in 1827,</w:t>
      </w:r>
      <w:r w:rsidR="00850CE0">
        <w:rPr>
          <w:sz w:val="24"/>
        </w:rPr>
        <w:t xml:space="preserve"> valued his </w:t>
      </w:r>
      <w:r w:rsidR="008306E9">
        <w:rPr>
          <w:sz w:val="24"/>
        </w:rPr>
        <w:t xml:space="preserve">classical education, asking his </w:t>
      </w:r>
      <w:r w:rsidR="00F637B0">
        <w:rPr>
          <w:sz w:val="24"/>
        </w:rPr>
        <w:t>teacher at the local academy to teach ancient languages.</w:t>
      </w:r>
      <w:r w:rsidR="00CF6B62">
        <w:rPr>
          <w:rStyle w:val="FootnoteReference"/>
          <w:sz w:val="24"/>
        </w:rPr>
        <w:footnoteReference w:id="8"/>
      </w:r>
      <w:r w:rsidR="00F637B0">
        <w:rPr>
          <w:sz w:val="24"/>
        </w:rPr>
        <w:t xml:space="preserve"> His request </w:t>
      </w:r>
      <w:proofErr w:type="gramStart"/>
      <w:r w:rsidR="00F637B0">
        <w:rPr>
          <w:sz w:val="24"/>
        </w:rPr>
        <w:t>having been neglected</w:t>
      </w:r>
      <w:proofErr w:type="gramEnd"/>
      <w:r w:rsidR="00F637B0">
        <w:rPr>
          <w:sz w:val="24"/>
        </w:rPr>
        <w:t xml:space="preserve">, Houston set out to the world, armed with his Alexander Pope translation of the </w:t>
      </w:r>
      <w:r w:rsidR="00F637B0" w:rsidRPr="00F637B0">
        <w:rPr>
          <w:i/>
          <w:sz w:val="24"/>
        </w:rPr>
        <w:t>Iliad</w:t>
      </w:r>
      <w:r w:rsidR="00F637B0">
        <w:rPr>
          <w:sz w:val="24"/>
        </w:rPr>
        <w:t>. “Homer and the wilderness – they gave shape to, and fed, his dream of greatness.”</w:t>
      </w:r>
      <w:r w:rsidR="00F637B0">
        <w:rPr>
          <w:rStyle w:val="FootnoteReference"/>
          <w:sz w:val="24"/>
        </w:rPr>
        <w:footnoteReference w:id="9"/>
      </w:r>
      <w:r w:rsidR="007377F5">
        <w:rPr>
          <w:sz w:val="24"/>
        </w:rPr>
        <w:t xml:space="preserve"> As Tennessee </w:t>
      </w:r>
      <w:r w:rsidR="00F758CA">
        <w:rPr>
          <w:sz w:val="24"/>
        </w:rPr>
        <w:t>G</w:t>
      </w:r>
      <w:r w:rsidR="007377F5">
        <w:rPr>
          <w:sz w:val="24"/>
        </w:rPr>
        <w:t>overnor</w:t>
      </w:r>
      <w:r w:rsidR="00200CF9">
        <w:rPr>
          <w:sz w:val="24"/>
        </w:rPr>
        <w:t xml:space="preserve"> in 1827</w:t>
      </w:r>
      <w:r w:rsidR="007377F5">
        <w:rPr>
          <w:sz w:val="24"/>
        </w:rPr>
        <w:t xml:space="preserve">, Houston </w:t>
      </w:r>
      <w:r w:rsidR="00854F62">
        <w:rPr>
          <w:sz w:val="24"/>
        </w:rPr>
        <w:t>rectified</w:t>
      </w:r>
      <w:r w:rsidR="00F758CA">
        <w:rPr>
          <w:sz w:val="24"/>
        </w:rPr>
        <w:t xml:space="preserve"> his tragic, young educational experiences by creating a state program that </w:t>
      </w:r>
      <w:r w:rsidR="00AB712A">
        <w:rPr>
          <w:sz w:val="24"/>
        </w:rPr>
        <w:t xml:space="preserve">planned </w:t>
      </w:r>
      <w:r w:rsidR="00F758CA">
        <w:rPr>
          <w:sz w:val="24"/>
        </w:rPr>
        <w:t xml:space="preserve">to establish a permanent fund </w:t>
      </w:r>
      <w:r w:rsidR="00AB712A">
        <w:rPr>
          <w:sz w:val="24"/>
        </w:rPr>
        <w:t>for</w:t>
      </w:r>
      <w:r w:rsidR="00F758CA">
        <w:rPr>
          <w:sz w:val="24"/>
        </w:rPr>
        <w:t xml:space="preserve"> public schools.</w:t>
      </w:r>
      <w:r w:rsidR="00AB712A">
        <w:rPr>
          <w:rStyle w:val="FootnoteReference"/>
          <w:sz w:val="24"/>
        </w:rPr>
        <w:footnoteReference w:id="10"/>
      </w:r>
    </w:p>
    <w:p w:rsidR="006A2213" w:rsidRDefault="00201A88" w:rsidP="006A2213">
      <w:pPr>
        <w:spacing w:line="480" w:lineRule="auto"/>
        <w:contextualSpacing/>
        <w:rPr>
          <w:sz w:val="24"/>
        </w:rPr>
      </w:pPr>
      <w:r>
        <w:rPr>
          <w:sz w:val="24"/>
        </w:rPr>
        <w:lastRenderedPageBreak/>
        <w:tab/>
      </w:r>
      <w:r w:rsidR="00334954">
        <w:rPr>
          <w:sz w:val="24"/>
        </w:rPr>
        <w:t>Due to this sophisticated and elite classical education, present even on the flatboats with Ann Robertson Cockrill</w:t>
      </w:r>
      <w:r w:rsidR="009F5E13">
        <w:rPr>
          <w:sz w:val="24"/>
        </w:rPr>
        <w:t>, the classics became ideal. T</w:t>
      </w:r>
      <w:r w:rsidR="00AB2774">
        <w:rPr>
          <w:sz w:val="24"/>
        </w:rPr>
        <w:t xml:space="preserve">he most prominent </w:t>
      </w:r>
      <w:r w:rsidR="00F15716">
        <w:rPr>
          <w:sz w:val="24"/>
        </w:rPr>
        <w:t>manifestation of the classical ideal of Nashville is inherent in the architecture of key structures in the city</w:t>
      </w:r>
      <w:proofErr w:type="gramStart"/>
      <w:r w:rsidR="00F15716">
        <w:rPr>
          <w:sz w:val="24"/>
        </w:rPr>
        <w:t>.</w:t>
      </w:r>
      <w:r w:rsidR="004B1429">
        <w:rPr>
          <w:sz w:val="24"/>
        </w:rPr>
        <w:t xml:space="preserve"> </w:t>
      </w:r>
      <w:r w:rsidR="00F15716">
        <w:rPr>
          <w:sz w:val="24"/>
        </w:rPr>
        <w:t xml:space="preserve"> </w:t>
      </w:r>
      <w:proofErr w:type="gramEnd"/>
      <w:r w:rsidR="00F95E90">
        <w:rPr>
          <w:sz w:val="24"/>
        </w:rPr>
        <w:t xml:space="preserve">The three earliest manifestations of classical architecture, symbolic of the classical ideal and education spreading like an unquenchable wildfire </w:t>
      </w:r>
      <w:r w:rsidR="00091D8A">
        <w:rPr>
          <w:sz w:val="24"/>
        </w:rPr>
        <w:t xml:space="preserve">among the educated </w:t>
      </w:r>
      <w:r w:rsidR="00F95E90">
        <w:rPr>
          <w:sz w:val="24"/>
        </w:rPr>
        <w:t>at the tu</w:t>
      </w:r>
      <w:r w:rsidR="000F25CD">
        <w:rPr>
          <w:sz w:val="24"/>
        </w:rPr>
        <w:t>rn of the nineteenth century in America, were the Nashville Inn, the Bank of the United States of 1827, and the Davidson County Courthouse of 1829.</w:t>
      </w:r>
      <w:r w:rsidR="000F25CD">
        <w:rPr>
          <w:rStyle w:val="FootnoteReference"/>
          <w:sz w:val="24"/>
        </w:rPr>
        <w:footnoteReference w:id="11"/>
      </w:r>
      <w:r w:rsidR="00A931E4">
        <w:rPr>
          <w:sz w:val="24"/>
        </w:rPr>
        <w:t xml:space="preserve"> The next most important classical designs were the additions to the personal residence of United States President Andrew Jackson </w:t>
      </w:r>
      <w:r w:rsidR="00873D4F">
        <w:rPr>
          <w:sz w:val="24"/>
        </w:rPr>
        <w:t xml:space="preserve">– the Hermitage – </w:t>
      </w:r>
      <w:r w:rsidR="00A931E4">
        <w:rPr>
          <w:sz w:val="24"/>
        </w:rPr>
        <w:t>in 1831.</w:t>
      </w:r>
      <w:r w:rsidR="00A931E4">
        <w:rPr>
          <w:rStyle w:val="FootnoteReference"/>
          <w:sz w:val="24"/>
        </w:rPr>
        <w:footnoteReference w:id="12"/>
      </w:r>
      <w:r w:rsidR="00A931E4">
        <w:rPr>
          <w:sz w:val="24"/>
        </w:rPr>
        <w:t xml:space="preserve"> </w:t>
      </w:r>
      <w:r w:rsidR="001C3C1B">
        <w:rPr>
          <w:sz w:val="24"/>
        </w:rPr>
        <w:t>Named by James Patrick</w:t>
      </w:r>
      <w:r w:rsidR="006B6C8F">
        <w:rPr>
          <w:sz w:val="24"/>
        </w:rPr>
        <w:t>, the</w:t>
      </w:r>
      <w:r w:rsidR="001C3C1B">
        <w:rPr>
          <w:sz w:val="24"/>
        </w:rPr>
        <w:t xml:space="preserve"> architectural historian, as “Tennessee’s first architect of the Greek Revival,” David Morrison designed symmetrical</w:t>
      </w:r>
      <w:r w:rsidR="006B6C8F">
        <w:rPr>
          <w:sz w:val="24"/>
        </w:rPr>
        <w:t xml:space="preserve"> wings, Doric columns, a temple-form porch, and hierarchical massing that fanned the classical flames in Tennessee.</w:t>
      </w:r>
      <w:r w:rsidR="006B6C8F">
        <w:rPr>
          <w:rStyle w:val="FootnoteReference"/>
          <w:sz w:val="24"/>
        </w:rPr>
        <w:footnoteReference w:id="13"/>
      </w:r>
      <w:r w:rsidR="006B6C8F">
        <w:rPr>
          <w:sz w:val="24"/>
        </w:rPr>
        <w:t xml:space="preserve"> Morrison also design</w:t>
      </w:r>
      <w:r w:rsidR="00854F62">
        <w:rPr>
          <w:sz w:val="24"/>
        </w:rPr>
        <w:t>ed</w:t>
      </w:r>
      <w:r w:rsidR="00873D4F">
        <w:rPr>
          <w:sz w:val="24"/>
        </w:rPr>
        <w:t xml:space="preserve"> the Doric “</w:t>
      </w:r>
      <w:proofErr w:type="spellStart"/>
      <w:r w:rsidR="00873D4F">
        <w:rPr>
          <w:sz w:val="24"/>
        </w:rPr>
        <w:t>tempietto</w:t>
      </w:r>
      <w:proofErr w:type="spellEnd"/>
      <w:r w:rsidR="00873D4F">
        <w:rPr>
          <w:sz w:val="24"/>
        </w:rPr>
        <w:t>” that became the funerary monument of Andrew and Rachel Jackson in the Hermitage</w:t>
      </w:r>
      <w:r w:rsidR="00694B84">
        <w:rPr>
          <w:sz w:val="24"/>
        </w:rPr>
        <w:t xml:space="preserve"> gardens.</w:t>
      </w:r>
      <w:r w:rsidR="00694B84">
        <w:rPr>
          <w:rStyle w:val="FootnoteReference"/>
          <w:sz w:val="24"/>
        </w:rPr>
        <w:footnoteReference w:id="14"/>
      </w:r>
    </w:p>
    <w:p w:rsidR="00672DAB" w:rsidRDefault="00852E66" w:rsidP="006A2213">
      <w:pPr>
        <w:spacing w:line="480" w:lineRule="auto"/>
        <w:contextualSpacing/>
        <w:rPr>
          <w:sz w:val="24"/>
        </w:rPr>
      </w:pPr>
      <w:r>
        <w:rPr>
          <w:sz w:val="24"/>
        </w:rPr>
        <w:tab/>
        <w:t xml:space="preserve">Around this same time, what </w:t>
      </w:r>
      <w:proofErr w:type="gramStart"/>
      <w:r>
        <w:rPr>
          <w:sz w:val="24"/>
        </w:rPr>
        <w:t>is now known</w:t>
      </w:r>
      <w:proofErr w:type="gramEnd"/>
      <w:r>
        <w:rPr>
          <w:sz w:val="24"/>
        </w:rPr>
        <w:t xml:space="preserve"> as the University of Nashville, previously </w:t>
      </w:r>
      <w:r w:rsidR="002304D7">
        <w:rPr>
          <w:sz w:val="24"/>
        </w:rPr>
        <w:t xml:space="preserve">named </w:t>
      </w:r>
      <w:r w:rsidR="00761F0E">
        <w:rPr>
          <w:sz w:val="24"/>
        </w:rPr>
        <w:t xml:space="preserve">Cumberland College and </w:t>
      </w:r>
      <w:r>
        <w:rPr>
          <w:sz w:val="24"/>
        </w:rPr>
        <w:t xml:space="preserve">Davidson Academy, </w:t>
      </w:r>
      <w:r w:rsidR="002318AB">
        <w:rPr>
          <w:sz w:val="24"/>
        </w:rPr>
        <w:t xml:space="preserve">grew from the same Middle Tennessee area. Many famous Nashvillians were largely influential in the growth and development of this institution, and it becomes significant when recalling the developing cultural identity of Nashville in the </w:t>
      </w:r>
      <w:proofErr w:type="gramStart"/>
      <w:r w:rsidR="002318AB">
        <w:rPr>
          <w:sz w:val="24"/>
        </w:rPr>
        <w:t>city’s</w:t>
      </w:r>
      <w:proofErr w:type="gramEnd"/>
      <w:r w:rsidR="002318AB">
        <w:rPr>
          <w:sz w:val="24"/>
        </w:rPr>
        <w:t xml:space="preserve"> youth. </w:t>
      </w:r>
      <w:r w:rsidR="00672DAB">
        <w:rPr>
          <w:sz w:val="24"/>
        </w:rPr>
        <w:t xml:space="preserve">The University of Nashville </w:t>
      </w:r>
      <w:proofErr w:type="gramStart"/>
      <w:r w:rsidR="00672DAB">
        <w:rPr>
          <w:sz w:val="24"/>
        </w:rPr>
        <w:t>had, in fact, been born</w:t>
      </w:r>
      <w:proofErr w:type="gramEnd"/>
      <w:r w:rsidR="00672DAB">
        <w:rPr>
          <w:sz w:val="24"/>
        </w:rPr>
        <w:t xml:space="preserve"> of good fortune. A little over two years after Davidson County </w:t>
      </w:r>
      <w:proofErr w:type="gramStart"/>
      <w:r w:rsidR="00672DAB">
        <w:rPr>
          <w:sz w:val="24"/>
        </w:rPr>
        <w:lastRenderedPageBreak/>
        <w:t>had become officially established</w:t>
      </w:r>
      <w:proofErr w:type="gramEnd"/>
      <w:r w:rsidR="00672DAB">
        <w:rPr>
          <w:sz w:val="24"/>
        </w:rPr>
        <w:t>, the North Carolina Legislature had passed an act on December 29, 1785 titled, “An Act for the Promotion of Learning in the County of Davidson.”</w:t>
      </w:r>
      <w:r w:rsidR="00672DAB">
        <w:rPr>
          <w:rStyle w:val="FootnoteReference"/>
          <w:sz w:val="24"/>
        </w:rPr>
        <w:footnoteReference w:id="15"/>
      </w:r>
      <w:r w:rsidR="00672DAB">
        <w:rPr>
          <w:sz w:val="24"/>
        </w:rPr>
        <w:t xml:space="preserve"> This act granted two hundred and forty acres for the formation and expansion of Davidson Academy. </w:t>
      </w:r>
      <w:proofErr w:type="gramStart"/>
      <w:r w:rsidR="00672DAB">
        <w:rPr>
          <w:sz w:val="24"/>
        </w:rPr>
        <w:t>Davidson Academy was founded by the Academy’s President of the Board of Trustees, the first minister of the First Presbyterian Church of Nashville, and the 1775 Princeton alumnus, Reverend Thomas B. Craighead</w:t>
      </w:r>
      <w:proofErr w:type="gramEnd"/>
      <w:r w:rsidR="00672DAB">
        <w:rPr>
          <w:sz w:val="24"/>
        </w:rPr>
        <w:t>. It was initially located on Gallatin Road (where the Spring Hill cemetery now lies) but moved across the Cumberland River to College Street (Now Third Avenue South).</w:t>
      </w:r>
      <w:r w:rsidR="00672DAB">
        <w:rPr>
          <w:rStyle w:val="FootnoteReference"/>
          <w:sz w:val="24"/>
        </w:rPr>
        <w:footnoteReference w:id="16"/>
      </w:r>
      <w:r w:rsidR="00672DAB">
        <w:rPr>
          <w:sz w:val="24"/>
        </w:rPr>
        <w:t xml:space="preserve"> It then became</w:t>
      </w:r>
      <w:r w:rsidR="008F0575">
        <w:rPr>
          <w:sz w:val="24"/>
        </w:rPr>
        <w:t xml:space="preserve"> Cumberland College</w:t>
      </w:r>
      <w:r w:rsidR="00672DAB">
        <w:rPr>
          <w:sz w:val="24"/>
        </w:rPr>
        <w:t>.</w:t>
      </w:r>
    </w:p>
    <w:p w:rsidR="00F34EFF" w:rsidRDefault="002304D7" w:rsidP="00C904D4">
      <w:pPr>
        <w:spacing w:line="480" w:lineRule="auto"/>
        <w:ind w:firstLine="720"/>
        <w:contextualSpacing/>
        <w:rPr>
          <w:sz w:val="24"/>
        </w:rPr>
      </w:pPr>
      <w:r>
        <w:rPr>
          <w:sz w:val="24"/>
        </w:rPr>
        <w:t xml:space="preserve">Cumberland College </w:t>
      </w:r>
      <w:r w:rsidR="00854F62">
        <w:rPr>
          <w:sz w:val="24"/>
        </w:rPr>
        <w:t>gained</w:t>
      </w:r>
      <w:r w:rsidR="00852E66">
        <w:rPr>
          <w:sz w:val="24"/>
        </w:rPr>
        <w:t xml:space="preserve"> </w:t>
      </w:r>
      <w:r w:rsidR="00007659">
        <w:rPr>
          <w:sz w:val="24"/>
        </w:rPr>
        <w:t>the Greek and Latin professor</w:t>
      </w:r>
      <w:r w:rsidR="007C5A47">
        <w:rPr>
          <w:sz w:val="24"/>
        </w:rPr>
        <w:t xml:space="preserve"> and p</w:t>
      </w:r>
      <w:r w:rsidR="0067404C">
        <w:rPr>
          <w:sz w:val="24"/>
        </w:rPr>
        <w:t xml:space="preserve">resident of </w:t>
      </w:r>
      <w:r w:rsidR="0067404C" w:rsidRPr="00007659">
        <w:rPr>
          <w:sz w:val="24"/>
        </w:rPr>
        <w:t xml:space="preserve">Princeton University in </w:t>
      </w:r>
      <w:r w:rsidR="00F84014" w:rsidRPr="00007659">
        <w:rPr>
          <w:sz w:val="24"/>
        </w:rPr>
        <w:t>1824</w:t>
      </w:r>
      <w:r w:rsidR="00F84014">
        <w:rPr>
          <w:sz w:val="24"/>
        </w:rPr>
        <w:t xml:space="preserve">. </w:t>
      </w:r>
      <w:r>
        <w:rPr>
          <w:sz w:val="24"/>
        </w:rPr>
        <w:t xml:space="preserve">Dr. </w:t>
      </w:r>
      <w:r w:rsidR="00F34EFF">
        <w:rPr>
          <w:sz w:val="24"/>
        </w:rPr>
        <w:t xml:space="preserve">Philip Lindsley </w:t>
      </w:r>
      <w:r w:rsidR="0068204B">
        <w:rPr>
          <w:sz w:val="24"/>
        </w:rPr>
        <w:t xml:space="preserve">(See Figure 1-3) </w:t>
      </w:r>
      <w:r w:rsidR="00F34EFF">
        <w:rPr>
          <w:sz w:val="24"/>
        </w:rPr>
        <w:t xml:space="preserve">was then the second </w:t>
      </w:r>
      <w:r w:rsidR="00672DAB">
        <w:rPr>
          <w:sz w:val="24"/>
        </w:rPr>
        <w:t xml:space="preserve">Princeton graduate to assume leadership of Cumberland College. </w:t>
      </w:r>
      <w:r>
        <w:rPr>
          <w:sz w:val="24"/>
        </w:rPr>
        <w:t xml:space="preserve">Dr. </w:t>
      </w:r>
      <w:r w:rsidR="00007659">
        <w:rPr>
          <w:sz w:val="24"/>
        </w:rPr>
        <w:t xml:space="preserve">Lindsley, </w:t>
      </w:r>
      <w:r w:rsidR="00672DAB">
        <w:rPr>
          <w:sz w:val="24"/>
        </w:rPr>
        <w:t xml:space="preserve">also </w:t>
      </w:r>
      <w:r w:rsidR="00007659">
        <w:rPr>
          <w:sz w:val="24"/>
        </w:rPr>
        <w:t>an ordained Presbyterian minister</w:t>
      </w:r>
      <w:r w:rsidR="00F34EFF">
        <w:rPr>
          <w:sz w:val="24"/>
        </w:rPr>
        <w:t xml:space="preserve"> like Craighead</w:t>
      </w:r>
      <w:r w:rsidR="00007659">
        <w:rPr>
          <w:sz w:val="24"/>
        </w:rPr>
        <w:t xml:space="preserve">, was as passionate as his contemporary </w:t>
      </w:r>
      <w:proofErr w:type="gramStart"/>
      <w:r w:rsidR="003A396B">
        <w:rPr>
          <w:sz w:val="24"/>
        </w:rPr>
        <w:t>Houston</w:t>
      </w:r>
      <w:proofErr w:type="gramEnd"/>
      <w:r w:rsidR="00007659">
        <w:rPr>
          <w:sz w:val="24"/>
        </w:rPr>
        <w:t xml:space="preserve">. </w:t>
      </w:r>
      <w:r w:rsidR="009C001B">
        <w:rPr>
          <w:sz w:val="24"/>
        </w:rPr>
        <w:t xml:space="preserve">When </w:t>
      </w:r>
      <w:r w:rsidR="00E91197">
        <w:rPr>
          <w:sz w:val="24"/>
        </w:rPr>
        <w:t xml:space="preserve">Dr. </w:t>
      </w:r>
      <w:r w:rsidR="009C001B">
        <w:rPr>
          <w:sz w:val="24"/>
        </w:rPr>
        <w:t xml:space="preserve">Lindsley arrived at the Western frontier of Nashville, he found a </w:t>
      </w:r>
      <w:proofErr w:type="gramStart"/>
      <w:r w:rsidR="009C001B">
        <w:rPr>
          <w:sz w:val="24"/>
        </w:rPr>
        <w:t>very illiterate</w:t>
      </w:r>
      <w:proofErr w:type="gramEnd"/>
      <w:r w:rsidR="009C001B">
        <w:rPr>
          <w:sz w:val="24"/>
        </w:rPr>
        <w:t xml:space="preserve"> city. </w:t>
      </w:r>
      <w:r w:rsidR="007C5A47">
        <w:rPr>
          <w:sz w:val="24"/>
        </w:rPr>
        <w:t>While p</w:t>
      </w:r>
      <w:r w:rsidR="007C0FBB">
        <w:rPr>
          <w:sz w:val="24"/>
        </w:rPr>
        <w:t xml:space="preserve">resident, he expanded Cumberland College to become the University of Nashville, attracting the nationwide attention of other universities and students across the country. </w:t>
      </w:r>
      <w:r w:rsidR="00F34EFF">
        <w:rPr>
          <w:sz w:val="24"/>
        </w:rPr>
        <w:t xml:space="preserve">In an address at an anniversary commencement on October 4, 1837, just thirteen years after becoming the university’s president, Dr. Lindsley established what kind of education </w:t>
      </w:r>
      <w:proofErr w:type="gramStart"/>
      <w:r w:rsidR="00F34EFF">
        <w:rPr>
          <w:sz w:val="24"/>
        </w:rPr>
        <w:t>should be offered</w:t>
      </w:r>
      <w:proofErr w:type="gramEnd"/>
      <w:r w:rsidR="00F34EFF">
        <w:rPr>
          <w:sz w:val="24"/>
        </w:rPr>
        <w:t xml:space="preserve"> at the University of Nashville:</w:t>
      </w:r>
    </w:p>
    <w:p w:rsidR="00F34EFF" w:rsidRDefault="00F34EFF" w:rsidP="00F34EFF">
      <w:pPr>
        <w:tabs>
          <w:tab w:val="left" w:pos="1440"/>
        </w:tabs>
        <w:spacing w:line="480" w:lineRule="auto"/>
        <w:ind w:left="1440"/>
        <w:contextualSpacing/>
        <w:rPr>
          <w:sz w:val="24"/>
        </w:rPr>
      </w:pPr>
      <w:r>
        <w:rPr>
          <w:sz w:val="24"/>
        </w:rPr>
        <w:lastRenderedPageBreak/>
        <w:tab/>
        <w:t>Our university must have the requisite teaching force also: Professors of every language, dead and living</w:t>
      </w:r>
      <w:proofErr w:type="gramStart"/>
      <w:r>
        <w:rPr>
          <w:sz w:val="24"/>
        </w:rPr>
        <w:t>;</w:t>
      </w:r>
      <w:proofErr w:type="gramEnd"/>
      <w:r>
        <w:rPr>
          <w:sz w:val="24"/>
        </w:rPr>
        <w:t xml:space="preserve"> of every science, in all its branches and </w:t>
      </w:r>
      <w:proofErr w:type="spellStart"/>
      <w:r>
        <w:rPr>
          <w:sz w:val="24"/>
        </w:rPr>
        <w:t>subdivisons</w:t>
      </w:r>
      <w:proofErr w:type="spellEnd"/>
      <w:r>
        <w:rPr>
          <w:sz w:val="24"/>
        </w:rPr>
        <w:t xml:space="preserve">, in all its bearings and applications. To be more particular, there should be professors or teachers – </w:t>
      </w:r>
    </w:p>
    <w:p w:rsidR="00F34EFF" w:rsidRDefault="00F34EFF" w:rsidP="00F34EFF">
      <w:pPr>
        <w:tabs>
          <w:tab w:val="left" w:pos="1440"/>
        </w:tabs>
        <w:spacing w:line="480" w:lineRule="auto"/>
        <w:ind w:left="1440"/>
        <w:contextualSpacing/>
        <w:rPr>
          <w:sz w:val="24"/>
        </w:rPr>
      </w:pPr>
      <w:r>
        <w:rPr>
          <w:sz w:val="24"/>
        </w:rPr>
        <w:tab/>
        <w:t>Of ancient classical language and literature;</w:t>
      </w:r>
    </w:p>
    <w:p w:rsidR="00F34EFF" w:rsidRDefault="00F34EFF" w:rsidP="00F34EFF">
      <w:pPr>
        <w:tabs>
          <w:tab w:val="left" w:pos="1440"/>
        </w:tabs>
        <w:spacing w:line="480" w:lineRule="auto"/>
        <w:ind w:left="1440"/>
        <w:contextualSpacing/>
        <w:rPr>
          <w:sz w:val="24"/>
        </w:rPr>
      </w:pPr>
      <w:r>
        <w:rPr>
          <w:sz w:val="24"/>
        </w:rPr>
        <w:tab/>
        <w:t>Of oriental languages and literature;</w:t>
      </w:r>
    </w:p>
    <w:p w:rsidR="00F34EFF" w:rsidRDefault="00F34EFF" w:rsidP="00F34EFF">
      <w:pPr>
        <w:tabs>
          <w:tab w:val="left" w:pos="1440"/>
        </w:tabs>
        <w:spacing w:line="480" w:lineRule="auto"/>
        <w:ind w:left="1440"/>
        <w:contextualSpacing/>
        <w:rPr>
          <w:sz w:val="24"/>
        </w:rPr>
      </w:pPr>
      <w:r>
        <w:rPr>
          <w:sz w:val="24"/>
        </w:rPr>
        <w:tab/>
        <w:t>Of modern European languages and literature;</w:t>
      </w:r>
    </w:p>
    <w:p w:rsidR="00F34EFF" w:rsidRDefault="00F34EFF" w:rsidP="00F34EFF">
      <w:pPr>
        <w:tabs>
          <w:tab w:val="left" w:pos="1440"/>
        </w:tabs>
        <w:spacing w:line="480" w:lineRule="auto"/>
        <w:ind w:left="1440"/>
        <w:contextualSpacing/>
        <w:rPr>
          <w:sz w:val="24"/>
        </w:rPr>
      </w:pPr>
      <w:r>
        <w:rPr>
          <w:sz w:val="24"/>
        </w:rPr>
        <w:tab/>
        <w:t>Of mathematics, natural philosophy, and astronomy;</w:t>
      </w:r>
    </w:p>
    <w:p w:rsidR="00F34EFF" w:rsidRDefault="00F34EFF" w:rsidP="00F34EFF">
      <w:pPr>
        <w:tabs>
          <w:tab w:val="left" w:pos="1440"/>
        </w:tabs>
        <w:spacing w:line="480" w:lineRule="auto"/>
        <w:ind w:left="1440"/>
        <w:contextualSpacing/>
        <w:rPr>
          <w:sz w:val="24"/>
        </w:rPr>
      </w:pPr>
      <w:r>
        <w:rPr>
          <w:sz w:val="24"/>
        </w:rPr>
        <w:tab/>
        <w:t>Of chemistry, geology, minerology, and comparative anatomy;</w:t>
      </w:r>
    </w:p>
    <w:p w:rsidR="00F34EFF" w:rsidRDefault="00F34EFF" w:rsidP="009B5D1D">
      <w:pPr>
        <w:spacing w:line="480" w:lineRule="auto"/>
        <w:ind w:left="2160" w:hanging="720"/>
        <w:contextualSpacing/>
        <w:rPr>
          <w:sz w:val="24"/>
        </w:rPr>
      </w:pPr>
      <w:r>
        <w:rPr>
          <w:sz w:val="24"/>
        </w:rPr>
        <w:tab/>
        <w:t>Of archaeology, in reference to ancient nations, governments, jurisprudence, geography, mythology, arts, science, and still existing monuments;</w:t>
      </w:r>
    </w:p>
    <w:p w:rsidR="00F34EFF" w:rsidRDefault="00F34EFF" w:rsidP="00F34EFF">
      <w:pPr>
        <w:tabs>
          <w:tab w:val="left" w:pos="1440"/>
        </w:tabs>
        <w:spacing w:line="480" w:lineRule="auto"/>
        <w:ind w:left="1440"/>
        <w:contextualSpacing/>
        <w:rPr>
          <w:sz w:val="24"/>
        </w:rPr>
      </w:pPr>
      <w:r>
        <w:rPr>
          <w:sz w:val="24"/>
        </w:rPr>
        <w:tab/>
        <w:t>Of philology, eloquence, poetry, and history;</w:t>
      </w:r>
    </w:p>
    <w:p w:rsidR="00F34EFF" w:rsidRDefault="00F34EFF" w:rsidP="00F34EFF">
      <w:pPr>
        <w:tabs>
          <w:tab w:val="left" w:pos="1440"/>
        </w:tabs>
        <w:spacing w:line="480" w:lineRule="auto"/>
        <w:ind w:left="1440"/>
        <w:contextualSpacing/>
        <w:rPr>
          <w:sz w:val="24"/>
        </w:rPr>
      </w:pPr>
      <w:r>
        <w:rPr>
          <w:sz w:val="24"/>
        </w:rPr>
        <w:tab/>
        <w:t>Of physiology, vegetable, animal, and comparative;</w:t>
      </w:r>
    </w:p>
    <w:p w:rsidR="00F34EFF" w:rsidRDefault="00F34EFF" w:rsidP="00F34EFF">
      <w:pPr>
        <w:tabs>
          <w:tab w:val="left" w:pos="1440"/>
        </w:tabs>
        <w:spacing w:line="480" w:lineRule="auto"/>
        <w:ind w:left="1440"/>
        <w:contextualSpacing/>
        <w:rPr>
          <w:sz w:val="24"/>
        </w:rPr>
      </w:pPr>
      <w:r>
        <w:rPr>
          <w:sz w:val="24"/>
        </w:rPr>
        <w:tab/>
        <w:t>Of ethics, politics, logic, and metaphysics;</w:t>
      </w:r>
    </w:p>
    <w:p w:rsidR="00F34EFF" w:rsidRDefault="00F34EFF" w:rsidP="00F34EFF">
      <w:pPr>
        <w:tabs>
          <w:tab w:val="left" w:pos="1440"/>
        </w:tabs>
        <w:spacing w:line="480" w:lineRule="auto"/>
        <w:ind w:left="1440"/>
        <w:contextualSpacing/>
        <w:rPr>
          <w:sz w:val="24"/>
        </w:rPr>
      </w:pPr>
      <w:r>
        <w:rPr>
          <w:sz w:val="24"/>
        </w:rPr>
        <w:tab/>
        <w:t>Of constitutional and national law;</w:t>
      </w:r>
    </w:p>
    <w:p w:rsidR="00F34EFF" w:rsidRDefault="00F34EFF" w:rsidP="00F34EFF">
      <w:pPr>
        <w:tabs>
          <w:tab w:val="left" w:pos="1440"/>
        </w:tabs>
        <w:spacing w:line="480" w:lineRule="auto"/>
        <w:ind w:left="1440"/>
        <w:contextualSpacing/>
        <w:rPr>
          <w:sz w:val="24"/>
        </w:rPr>
      </w:pPr>
      <w:r>
        <w:rPr>
          <w:sz w:val="24"/>
        </w:rPr>
        <w:tab/>
        <w:t>Of political economy and national statistics;</w:t>
      </w:r>
    </w:p>
    <w:p w:rsidR="00F34EFF" w:rsidRDefault="00F34EFF" w:rsidP="009B5D1D">
      <w:pPr>
        <w:spacing w:line="480" w:lineRule="auto"/>
        <w:ind w:left="2160" w:hanging="720"/>
        <w:contextualSpacing/>
        <w:rPr>
          <w:sz w:val="24"/>
        </w:rPr>
      </w:pPr>
      <w:r>
        <w:rPr>
          <w:sz w:val="24"/>
        </w:rPr>
        <w:tab/>
        <w:t>Of architecture, sculpture, painting, drawing, engraving, and music;</w:t>
      </w:r>
    </w:p>
    <w:p w:rsidR="00F34EFF" w:rsidRDefault="00F34EFF" w:rsidP="00F34EFF">
      <w:pPr>
        <w:tabs>
          <w:tab w:val="left" w:pos="1440"/>
        </w:tabs>
        <w:spacing w:line="480" w:lineRule="auto"/>
        <w:ind w:left="1440"/>
        <w:contextualSpacing/>
        <w:rPr>
          <w:sz w:val="24"/>
        </w:rPr>
      </w:pPr>
      <w:r>
        <w:rPr>
          <w:sz w:val="24"/>
        </w:rPr>
        <w:tab/>
        <w:t>Of engineering, civil, military, and naval;</w:t>
      </w:r>
    </w:p>
    <w:p w:rsidR="00F34EFF" w:rsidRDefault="00F34EFF" w:rsidP="00F34EFF">
      <w:pPr>
        <w:tabs>
          <w:tab w:val="left" w:pos="1440"/>
        </w:tabs>
        <w:spacing w:line="480" w:lineRule="auto"/>
        <w:ind w:left="1440"/>
        <w:contextualSpacing/>
        <w:rPr>
          <w:sz w:val="24"/>
        </w:rPr>
      </w:pPr>
      <w:r>
        <w:rPr>
          <w:sz w:val="24"/>
        </w:rPr>
        <w:tab/>
        <w:t xml:space="preserve">Of mechanics, </w:t>
      </w:r>
      <w:proofErr w:type="spellStart"/>
      <w:r>
        <w:rPr>
          <w:sz w:val="24"/>
        </w:rPr>
        <w:t>prinicples</w:t>
      </w:r>
      <w:proofErr w:type="spellEnd"/>
      <w:r>
        <w:rPr>
          <w:sz w:val="24"/>
        </w:rPr>
        <w:t xml:space="preserve"> and practice;</w:t>
      </w:r>
    </w:p>
    <w:p w:rsidR="00F34EFF" w:rsidRDefault="00F34EFF" w:rsidP="00F34EFF">
      <w:pPr>
        <w:tabs>
          <w:tab w:val="left" w:pos="1440"/>
        </w:tabs>
        <w:spacing w:line="480" w:lineRule="auto"/>
        <w:ind w:left="1440"/>
        <w:contextualSpacing/>
        <w:rPr>
          <w:sz w:val="24"/>
        </w:rPr>
      </w:pPr>
      <w:r>
        <w:rPr>
          <w:sz w:val="24"/>
        </w:rPr>
        <w:tab/>
        <w:t>Of agriculture, commerce, and manufactures;</w:t>
      </w:r>
    </w:p>
    <w:p w:rsidR="00F34EFF" w:rsidRDefault="00F34EFF" w:rsidP="009B5D1D">
      <w:pPr>
        <w:tabs>
          <w:tab w:val="left" w:pos="1440"/>
        </w:tabs>
        <w:spacing w:line="480" w:lineRule="auto"/>
        <w:ind w:left="2160" w:hanging="720"/>
        <w:contextualSpacing/>
        <w:rPr>
          <w:sz w:val="24"/>
        </w:rPr>
      </w:pPr>
      <w:r>
        <w:rPr>
          <w:sz w:val="24"/>
        </w:rPr>
        <w:lastRenderedPageBreak/>
        <w:tab/>
        <w:t>Of fencing riding, swimming, and other manly and healthful gymnastics;</w:t>
      </w:r>
    </w:p>
    <w:p w:rsidR="00F34EFF" w:rsidRDefault="00F34EFF" w:rsidP="00F34EFF">
      <w:pPr>
        <w:tabs>
          <w:tab w:val="left" w:pos="1440"/>
        </w:tabs>
        <w:spacing w:line="480" w:lineRule="auto"/>
        <w:ind w:left="1440"/>
        <w:contextualSpacing/>
        <w:rPr>
          <w:sz w:val="24"/>
        </w:rPr>
      </w:pPr>
      <w:r>
        <w:rPr>
          <w:sz w:val="24"/>
        </w:rPr>
        <w:tab/>
        <w:t>Of natural history in every department;</w:t>
      </w:r>
    </w:p>
    <w:p w:rsidR="00F34EFF" w:rsidRDefault="00F34EFF" w:rsidP="00F34EFF">
      <w:pPr>
        <w:tabs>
          <w:tab w:val="left" w:pos="1440"/>
        </w:tabs>
        <w:spacing w:line="480" w:lineRule="auto"/>
        <w:ind w:left="1440"/>
        <w:contextualSpacing/>
        <w:rPr>
          <w:sz w:val="24"/>
        </w:rPr>
      </w:pPr>
      <w:r>
        <w:rPr>
          <w:sz w:val="24"/>
        </w:rPr>
        <w:tab/>
        <w:t>Of all the liberal professions;</w:t>
      </w:r>
    </w:p>
    <w:p w:rsidR="00F34EFF" w:rsidRDefault="00F34EFF" w:rsidP="00F34EFF">
      <w:pPr>
        <w:tabs>
          <w:tab w:val="left" w:pos="1440"/>
        </w:tabs>
        <w:spacing w:line="480" w:lineRule="auto"/>
        <w:ind w:left="1440"/>
        <w:contextualSpacing/>
        <w:rPr>
          <w:sz w:val="24"/>
        </w:rPr>
      </w:pPr>
      <w:r>
        <w:rPr>
          <w:sz w:val="24"/>
        </w:rPr>
        <w:tab/>
        <w:t>Of Biblical literature;</w:t>
      </w:r>
    </w:p>
    <w:p w:rsidR="00F34EFF" w:rsidRDefault="00F34EFF" w:rsidP="009B5D1D">
      <w:pPr>
        <w:spacing w:line="480" w:lineRule="auto"/>
        <w:ind w:left="2160" w:hanging="720"/>
        <w:contextualSpacing/>
        <w:rPr>
          <w:sz w:val="24"/>
        </w:rPr>
      </w:pPr>
      <w:r>
        <w:rPr>
          <w:sz w:val="24"/>
        </w:rPr>
        <w:tab/>
        <w:t>Of religion, in such forms and modes as may be satisfactory to the judicious and reflecting portion of the community.</w:t>
      </w:r>
      <w:r>
        <w:rPr>
          <w:rStyle w:val="FootnoteReference"/>
          <w:sz w:val="24"/>
        </w:rPr>
        <w:footnoteReference w:id="17"/>
      </w:r>
    </w:p>
    <w:p w:rsidR="00B158C0" w:rsidRDefault="007C0FBB" w:rsidP="00F34EFF">
      <w:pPr>
        <w:spacing w:line="480" w:lineRule="auto"/>
        <w:contextualSpacing/>
        <w:rPr>
          <w:sz w:val="24"/>
        </w:rPr>
      </w:pPr>
      <w:r>
        <w:rPr>
          <w:sz w:val="24"/>
        </w:rPr>
        <w:t xml:space="preserve">Revitalizing Nashville’s education, </w:t>
      </w:r>
      <w:r w:rsidR="00E91197">
        <w:rPr>
          <w:sz w:val="24"/>
        </w:rPr>
        <w:t xml:space="preserve">Dr. </w:t>
      </w:r>
      <w:r>
        <w:rPr>
          <w:sz w:val="24"/>
        </w:rPr>
        <w:t xml:space="preserve">Lindsley saw Houston’s public education program to fruition. Indeed, </w:t>
      </w:r>
      <w:r w:rsidR="00E91197">
        <w:rPr>
          <w:sz w:val="24"/>
        </w:rPr>
        <w:t xml:space="preserve">Dr. </w:t>
      </w:r>
      <w:r>
        <w:rPr>
          <w:sz w:val="24"/>
        </w:rPr>
        <w:t>Philip Lindsley, along with many other Nashvillians, increased literacy and fostered a value for education</w:t>
      </w:r>
      <w:r w:rsidR="00F34EFF">
        <w:rPr>
          <w:sz w:val="24"/>
        </w:rPr>
        <w:t xml:space="preserve"> through the university</w:t>
      </w:r>
      <w:r>
        <w:rPr>
          <w:sz w:val="24"/>
        </w:rPr>
        <w:t xml:space="preserve">. Thus, Nashville’s cultural identity as the “Athens of the West” was born. </w:t>
      </w:r>
    </w:p>
    <w:p w:rsidR="007C0FBB" w:rsidRDefault="00B158C0" w:rsidP="00B158C0">
      <w:pPr>
        <w:spacing w:line="480" w:lineRule="auto"/>
        <w:ind w:firstLine="720"/>
        <w:contextualSpacing/>
        <w:rPr>
          <w:sz w:val="24"/>
        </w:rPr>
      </w:pPr>
      <w:r>
        <w:rPr>
          <w:sz w:val="24"/>
        </w:rPr>
        <w:t>Many Nashville historians credit Dr. Philip Lindsley with the famous reputational label on Nashville – the “Athens of the West.” Most scholars reason that it was his impression of the increasing educational programs and emphasis on the classics that led to this cultural reputation. However, when Dr. Lindsley first arrived the educational system was in disrepair in 1824. Elementary and secondary schools had not been developed, Cumberland College was not financially supported, religious educational institutions were competing heavily (perhaps at the expense of education), and the rate</w:t>
      </w:r>
      <w:r w:rsidRPr="00B158C0">
        <w:rPr>
          <w:sz w:val="24"/>
        </w:rPr>
        <w:t xml:space="preserve"> </w:t>
      </w:r>
      <w:r>
        <w:rPr>
          <w:sz w:val="24"/>
        </w:rPr>
        <w:t xml:space="preserve">of literacy was probably below that of the first settlers at Fort </w:t>
      </w:r>
      <w:proofErr w:type="spellStart"/>
      <w:r>
        <w:rPr>
          <w:sz w:val="24"/>
        </w:rPr>
        <w:t>Nashboro</w:t>
      </w:r>
      <w:proofErr w:type="spellEnd"/>
      <w:r>
        <w:rPr>
          <w:sz w:val="24"/>
        </w:rPr>
        <w:t>.</w:t>
      </w:r>
      <w:r>
        <w:rPr>
          <w:rStyle w:val="FootnoteReference"/>
          <w:sz w:val="24"/>
        </w:rPr>
        <w:footnoteReference w:id="18"/>
      </w:r>
      <w:r>
        <w:rPr>
          <w:sz w:val="24"/>
        </w:rPr>
        <w:t xml:space="preserve"> When Dr.</w:t>
      </w:r>
    </w:p>
    <w:p w:rsidR="00590EB5" w:rsidRDefault="00C22B43" w:rsidP="00590EB5">
      <w:pPr>
        <w:keepNext/>
        <w:spacing w:line="480" w:lineRule="auto"/>
        <w:contextualSpacing/>
        <w:jc w:val="center"/>
      </w:pPr>
      <w:r>
        <w:rPr>
          <w:noProof/>
          <w:sz w:val="24"/>
        </w:rPr>
        <w:lastRenderedPageBreak/>
        <w:drawing>
          <wp:inline distT="0" distB="0" distL="0" distR="0" wp14:anchorId="39EF28BD" wp14:editId="26FA9BA0">
            <wp:extent cx="2847975" cy="4261467"/>
            <wp:effectExtent l="0" t="0" r="0" b="6350"/>
            <wp:docPr id="6" name="Picture 6" descr="C:\Users\Luke\Desktop\Lindsl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ke\Desktop\Lindsley.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54666" cy="4271479"/>
                    </a:xfrm>
                    <a:prstGeom prst="rect">
                      <a:avLst/>
                    </a:prstGeom>
                    <a:noFill/>
                    <a:ln>
                      <a:noFill/>
                    </a:ln>
                    <a:effectLst>
                      <a:softEdge rad="63500"/>
                    </a:effectLst>
                  </pic:spPr>
                </pic:pic>
              </a:graphicData>
            </a:graphic>
          </wp:inline>
        </w:drawing>
      </w:r>
    </w:p>
    <w:p w:rsidR="00590EB5" w:rsidRPr="001C24B2" w:rsidRDefault="00590EB5" w:rsidP="001C24B2">
      <w:pPr>
        <w:pStyle w:val="Heading2"/>
        <w:jc w:val="center"/>
      </w:pPr>
      <w:bookmarkStart w:id="19" w:name="_Toc468630822"/>
      <w:bookmarkStart w:id="20" w:name="_Toc468648990"/>
      <w:r w:rsidRPr="001C24B2">
        <w:t>Figure 1</w:t>
      </w:r>
      <w:r w:rsidRPr="001C24B2">
        <w:noBreakHyphen/>
      </w:r>
      <w:r w:rsidR="006C48FE" w:rsidRPr="001C24B2">
        <w:t>3</w:t>
      </w:r>
      <w:r w:rsidR="00240953">
        <w:t>:</w:t>
      </w:r>
      <w:r w:rsidRPr="001C24B2">
        <w:t xml:space="preserve"> Philip Lindsley</w:t>
      </w:r>
      <w:bookmarkEnd w:id="19"/>
      <w:bookmarkEnd w:id="20"/>
    </w:p>
    <w:p w:rsidR="00C22B43" w:rsidRDefault="00590EB5" w:rsidP="000C63B2">
      <w:pPr>
        <w:spacing w:line="240" w:lineRule="auto"/>
        <w:contextualSpacing/>
        <w:jc w:val="center"/>
        <w:rPr>
          <w:color w:val="548DD4" w:themeColor="text2" w:themeTint="99"/>
          <w:sz w:val="24"/>
        </w:rPr>
      </w:pPr>
      <w:proofErr w:type="gramStart"/>
      <w:r w:rsidRPr="00590EB5">
        <w:rPr>
          <w:color w:val="548DD4" w:themeColor="text2" w:themeTint="99"/>
          <w:sz w:val="24"/>
        </w:rPr>
        <w:t>Reprinted from H.W. Crew, The History of Nashville Tennessee (Nashville: Publishing House of the Methodist Episcopal Church, South, Barbee &amp; Smith, 1890), 386.</w:t>
      </w:r>
      <w:proofErr w:type="gramEnd"/>
    </w:p>
    <w:p w:rsidR="00B158C0" w:rsidRPr="000C63B2" w:rsidRDefault="00B158C0" w:rsidP="000C63B2">
      <w:pPr>
        <w:spacing w:line="240" w:lineRule="auto"/>
        <w:contextualSpacing/>
        <w:jc w:val="center"/>
        <w:rPr>
          <w:color w:val="548DD4" w:themeColor="text2" w:themeTint="99"/>
          <w:sz w:val="24"/>
        </w:rPr>
      </w:pPr>
    </w:p>
    <w:p w:rsidR="007C0FBB" w:rsidRDefault="007C0FBB" w:rsidP="00B158C0">
      <w:pPr>
        <w:spacing w:line="480" w:lineRule="auto"/>
        <w:contextualSpacing/>
        <w:rPr>
          <w:sz w:val="24"/>
        </w:rPr>
      </w:pPr>
      <w:r>
        <w:rPr>
          <w:sz w:val="24"/>
        </w:rPr>
        <w:t xml:space="preserve">Lindsley accepted the presidency of the college, he was traveling to a city that </w:t>
      </w:r>
      <w:proofErr w:type="gramStart"/>
      <w:r>
        <w:rPr>
          <w:sz w:val="24"/>
        </w:rPr>
        <w:t>was near the Western front, faced</w:t>
      </w:r>
      <w:proofErr w:type="gramEnd"/>
      <w:r>
        <w:rPr>
          <w:sz w:val="24"/>
        </w:rPr>
        <w:t xml:space="preserve"> by wilderness, illiteracy, and a political storm, as Andrew Jackson ran his fierce campaign for the Presidency. </w:t>
      </w:r>
      <w:r w:rsidR="00D059A9">
        <w:rPr>
          <w:sz w:val="24"/>
        </w:rPr>
        <w:t>Lindsley’s</w:t>
      </w:r>
      <w:r>
        <w:rPr>
          <w:sz w:val="24"/>
        </w:rPr>
        <w:t xml:space="preserve"> motivation to move to the Southwestern front </w:t>
      </w:r>
      <w:proofErr w:type="gramStart"/>
      <w:r>
        <w:rPr>
          <w:sz w:val="24"/>
        </w:rPr>
        <w:t>was stated</w:t>
      </w:r>
      <w:proofErr w:type="gramEnd"/>
      <w:r>
        <w:rPr>
          <w:sz w:val="24"/>
        </w:rPr>
        <w:t xml:space="preserve"> in a letter to his friends: “Throughout the immense valley of the lower Mississippi, containing at least a million of inhabitants, there exists not a single college.”</w:t>
      </w:r>
      <w:r>
        <w:rPr>
          <w:rStyle w:val="FootnoteReference"/>
          <w:sz w:val="24"/>
        </w:rPr>
        <w:footnoteReference w:id="19"/>
      </w:r>
      <w:r>
        <w:rPr>
          <w:sz w:val="24"/>
        </w:rPr>
        <w:t xml:space="preserve"> </w:t>
      </w:r>
      <w:proofErr w:type="gramStart"/>
      <w:r w:rsidR="00B557BA">
        <w:rPr>
          <w:sz w:val="24"/>
        </w:rPr>
        <w:t>So</w:t>
      </w:r>
      <w:proofErr w:type="gramEnd"/>
      <w:r w:rsidR="00B557BA">
        <w:rPr>
          <w:sz w:val="24"/>
        </w:rPr>
        <w:t xml:space="preserve"> was </w:t>
      </w:r>
      <w:r w:rsidR="00CD1458">
        <w:rPr>
          <w:sz w:val="24"/>
        </w:rPr>
        <w:t xml:space="preserve">Dr. </w:t>
      </w:r>
      <w:r w:rsidR="00B557BA">
        <w:rPr>
          <w:sz w:val="24"/>
        </w:rPr>
        <w:t xml:space="preserve">Lindsley influential in both building the reputation </w:t>
      </w:r>
      <w:r w:rsidR="000A53C7">
        <w:rPr>
          <w:sz w:val="24"/>
        </w:rPr>
        <w:t xml:space="preserve">of </w:t>
      </w:r>
      <w:r w:rsidR="000A53C7">
        <w:rPr>
          <w:sz w:val="24"/>
        </w:rPr>
        <w:lastRenderedPageBreak/>
        <w:t xml:space="preserve">“Athens of the West” </w:t>
      </w:r>
      <w:r w:rsidR="00B557BA">
        <w:rPr>
          <w:sz w:val="24"/>
        </w:rPr>
        <w:t>and the educational system</w:t>
      </w:r>
      <w:r w:rsidR="000A53C7">
        <w:rPr>
          <w:sz w:val="24"/>
        </w:rPr>
        <w:t xml:space="preserve"> that inspired such an identity</w:t>
      </w:r>
      <w:r w:rsidR="00B557BA">
        <w:rPr>
          <w:sz w:val="24"/>
        </w:rPr>
        <w:t xml:space="preserve">? </w:t>
      </w:r>
      <w:r w:rsidR="000A53C7">
        <w:rPr>
          <w:sz w:val="24"/>
        </w:rPr>
        <w:t>Indeed, given the latest research and primary sources,</w:t>
      </w:r>
      <w:r w:rsidR="00B557BA">
        <w:rPr>
          <w:sz w:val="24"/>
        </w:rPr>
        <w:t xml:space="preserve"> that is the most current, logical conclusion. </w:t>
      </w:r>
    </w:p>
    <w:p w:rsidR="00645E2C" w:rsidRDefault="00645E2C" w:rsidP="007C0FBB">
      <w:pPr>
        <w:spacing w:line="480" w:lineRule="auto"/>
        <w:ind w:firstLine="720"/>
        <w:contextualSpacing/>
        <w:rPr>
          <w:sz w:val="24"/>
        </w:rPr>
      </w:pPr>
      <w:r>
        <w:rPr>
          <w:sz w:val="24"/>
        </w:rPr>
        <w:t xml:space="preserve">The phrase “Athens of the West” </w:t>
      </w:r>
      <w:proofErr w:type="gramStart"/>
      <w:r>
        <w:rPr>
          <w:sz w:val="24"/>
        </w:rPr>
        <w:t>is said</w:t>
      </w:r>
      <w:proofErr w:type="gramEnd"/>
      <w:r>
        <w:rPr>
          <w:sz w:val="24"/>
        </w:rPr>
        <w:t xml:space="preserve"> to have first appeared in one of Dr. Lindsley’s speeches in 1840,</w:t>
      </w:r>
      <w:r w:rsidR="000C63B2">
        <w:rPr>
          <w:rStyle w:val="FootnoteReference"/>
          <w:sz w:val="24"/>
        </w:rPr>
        <w:footnoteReference w:id="20"/>
      </w:r>
      <w:r>
        <w:rPr>
          <w:sz w:val="24"/>
        </w:rPr>
        <w:t xml:space="preserve"> and many second this notion.</w:t>
      </w:r>
      <w:r w:rsidR="000C63B2">
        <w:rPr>
          <w:rStyle w:val="FootnoteReference"/>
          <w:sz w:val="24"/>
        </w:rPr>
        <w:footnoteReference w:id="21"/>
      </w:r>
      <w:r>
        <w:rPr>
          <w:sz w:val="24"/>
        </w:rPr>
        <w:t xml:space="preserve"> As no one </w:t>
      </w:r>
      <w:r w:rsidR="00D059A9">
        <w:rPr>
          <w:sz w:val="24"/>
        </w:rPr>
        <w:t>can</w:t>
      </w:r>
      <w:r>
        <w:rPr>
          <w:sz w:val="24"/>
        </w:rPr>
        <w:t xml:space="preserve"> be entirely certain of the origin of the classical connotation, it seems reasonable to agree with Henry </w:t>
      </w:r>
      <w:proofErr w:type="spellStart"/>
      <w:r>
        <w:rPr>
          <w:sz w:val="24"/>
        </w:rPr>
        <w:t>McRaven</w:t>
      </w:r>
      <w:proofErr w:type="spellEnd"/>
      <w:r>
        <w:rPr>
          <w:sz w:val="24"/>
        </w:rPr>
        <w:t xml:space="preserve"> who concludes that the “exact origin of the expression is lost in the obscurity of the past</w:t>
      </w:r>
      <w:r w:rsidR="0040447D">
        <w:rPr>
          <w:sz w:val="24"/>
        </w:rPr>
        <w:t>”</w:t>
      </w:r>
      <w:r w:rsidR="00E86BFE" w:rsidRPr="00E86BFE">
        <w:rPr>
          <w:rStyle w:val="FootnoteReference"/>
          <w:sz w:val="24"/>
        </w:rPr>
        <w:t xml:space="preserve"> </w:t>
      </w:r>
      <w:r w:rsidR="00E86BFE">
        <w:rPr>
          <w:rStyle w:val="FootnoteReference"/>
          <w:sz w:val="24"/>
        </w:rPr>
        <w:footnoteReference w:id="22"/>
      </w:r>
      <w:r>
        <w:rPr>
          <w:sz w:val="24"/>
        </w:rPr>
        <w:t xml:space="preserve"> and admits that most credit Dr. Lindsley with the phrase.</w:t>
      </w:r>
      <w:r w:rsidR="00A5274C">
        <w:rPr>
          <w:rStyle w:val="FootnoteReference"/>
          <w:sz w:val="24"/>
        </w:rPr>
        <w:footnoteReference w:id="23"/>
      </w:r>
      <w:r>
        <w:rPr>
          <w:sz w:val="24"/>
        </w:rPr>
        <w:t xml:space="preserve"> The classical </w:t>
      </w:r>
      <w:r w:rsidR="00366B28">
        <w:rPr>
          <w:sz w:val="24"/>
        </w:rPr>
        <w:t>association is</w:t>
      </w:r>
      <w:r>
        <w:rPr>
          <w:sz w:val="24"/>
        </w:rPr>
        <w:t>, at the least, credited to Dr. Lindsley in his former student and biographer Leroy J. Halsey who says:</w:t>
      </w:r>
    </w:p>
    <w:p w:rsidR="00645E2C" w:rsidRDefault="00645E2C" w:rsidP="00645E2C">
      <w:pPr>
        <w:spacing w:line="480" w:lineRule="auto"/>
        <w:ind w:left="1440" w:firstLine="720"/>
        <w:contextualSpacing/>
        <w:rPr>
          <w:sz w:val="24"/>
        </w:rPr>
      </w:pPr>
      <w:proofErr w:type="gramStart"/>
      <w:r>
        <w:rPr>
          <w:sz w:val="24"/>
        </w:rPr>
        <w:t>But</w:t>
      </w:r>
      <w:proofErr w:type="gramEnd"/>
      <w:r>
        <w:rPr>
          <w:sz w:val="24"/>
        </w:rPr>
        <w:t xml:space="preserve"> perhaps the most striking illustration of his influence as an educator is seen at Nashville itself – the scene of his longest labors, the home of his adoption, the resting-place where is ashes sleep. We have no citizenship at Nashville; and hence cannot be accused of partiality in what we are about to say. But of all we have seen and known, we my safely say, there is not city west of the mountains which seem [sic] to us so justly entitled to be called the “Athens of the West” as Nashville. </w:t>
      </w:r>
      <w:proofErr w:type="gramStart"/>
      <w:r>
        <w:rPr>
          <w:sz w:val="24"/>
        </w:rPr>
        <w:t>And</w:t>
      </w:r>
      <w:proofErr w:type="gramEnd"/>
      <w:r>
        <w:rPr>
          <w:sz w:val="24"/>
        </w:rPr>
        <w:t xml:space="preserve"> for that distinction we think there is no man to whom Nashville is so much indebted as Dr. Lindsley.</w:t>
      </w:r>
      <w:r>
        <w:rPr>
          <w:rStyle w:val="FootnoteReference"/>
          <w:sz w:val="24"/>
        </w:rPr>
        <w:footnoteReference w:id="24"/>
      </w:r>
    </w:p>
    <w:p w:rsidR="00366B28" w:rsidRDefault="00D82FFA" w:rsidP="00366B28">
      <w:pPr>
        <w:spacing w:line="480" w:lineRule="auto"/>
        <w:contextualSpacing/>
        <w:rPr>
          <w:sz w:val="24"/>
        </w:rPr>
      </w:pPr>
      <w:proofErr w:type="gramStart"/>
      <w:r>
        <w:rPr>
          <w:sz w:val="24"/>
        </w:rPr>
        <w:lastRenderedPageBreak/>
        <w:t>But</w:t>
      </w:r>
      <w:proofErr w:type="gramEnd"/>
      <w:r>
        <w:rPr>
          <w:sz w:val="24"/>
        </w:rPr>
        <w:t xml:space="preserve"> the student merely credits Dr. Lindsley for justifying the identity, not specifically creating it.</w:t>
      </w:r>
    </w:p>
    <w:p w:rsidR="00645E2C" w:rsidRDefault="00645E2C" w:rsidP="00D82FFA">
      <w:pPr>
        <w:spacing w:line="480" w:lineRule="auto"/>
        <w:ind w:firstLine="720"/>
        <w:contextualSpacing/>
        <w:rPr>
          <w:sz w:val="24"/>
        </w:rPr>
      </w:pPr>
      <w:r>
        <w:rPr>
          <w:sz w:val="24"/>
        </w:rPr>
        <w:t>Another contributor to the phrase that links Nashville with classical Athens is Felix Grundy.</w:t>
      </w:r>
      <w:r w:rsidR="00A5274C">
        <w:rPr>
          <w:rStyle w:val="FootnoteReference"/>
          <w:sz w:val="24"/>
        </w:rPr>
        <w:footnoteReference w:id="25"/>
      </w:r>
      <w:r>
        <w:rPr>
          <w:sz w:val="24"/>
        </w:rPr>
        <w:t xml:space="preserve"> A highly influential figure of the time, Grundy “was confessedly the greatest criminal lawyer of the West.”</w:t>
      </w:r>
      <w:r>
        <w:rPr>
          <w:rStyle w:val="FootnoteReference"/>
          <w:sz w:val="24"/>
        </w:rPr>
        <w:footnoteReference w:id="26"/>
      </w:r>
      <w:r>
        <w:rPr>
          <w:sz w:val="24"/>
        </w:rPr>
        <w:t xml:space="preserve"> Louise Davis, Metro Nashville’s official historian, also credits Grundy with using the expression around the same time as Dr. Lindsley, which she claims to be 1825 – just after Dr. Lindsley’s arrival to Nashville. She claims that Dr. Lindsley, upon seeing the emphasis and importance of education (which is, in fact, quite the opposite of what the latest research suggests the educational climate was at that time) when he arrived, exclaimed Nashville to be the “Athens of the West.” No evidence actually exists to suggest either of these men were fundamental in socializing the title that infers Nashville’s similarity to classical Athens, and the evidence suggested to support such a claim (that Nashville’s education was extremely impressive in the mid-eighteen twenties) is </w:t>
      </w:r>
      <w:r w:rsidR="00F706E0">
        <w:rPr>
          <w:sz w:val="24"/>
        </w:rPr>
        <w:t>unfounded</w:t>
      </w:r>
      <w:r>
        <w:rPr>
          <w:sz w:val="24"/>
        </w:rPr>
        <w:t xml:space="preserve">. </w:t>
      </w:r>
      <w:r w:rsidR="00F706E0">
        <w:rPr>
          <w:sz w:val="24"/>
        </w:rPr>
        <w:t xml:space="preserve">Associating such a prestigious title with a former Princeton President and one of the best lawyers in the area certainly paints a picture of Nashville’s history that </w:t>
      </w:r>
      <w:r w:rsidR="008E32FF">
        <w:rPr>
          <w:sz w:val="24"/>
        </w:rPr>
        <w:t xml:space="preserve">associates the culture’s identity around significant elite figures. </w:t>
      </w:r>
    </w:p>
    <w:p w:rsidR="0024010A" w:rsidRPr="00092541" w:rsidRDefault="00645E2C" w:rsidP="00645E2C">
      <w:pPr>
        <w:spacing w:line="480" w:lineRule="auto"/>
        <w:ind w:firstLine="720"/>
        <w:contextualSpacing/>
        <w:rPr>
          <w:sz w:val="24"/>
        </w:rPr>
      </w:pPr>
      <w:r>
        <w:rPr>
          <w:sz w:val="24"/>
        </w:rPr>
        <w:t xml:space="preserve">However, </w:t>
      </w:r>
      <w:r w:rsidR="0058240E">
        <w:rPr>
          <w:sz w:val="24"/>
        </w:rPr>
        <w:t>this</w:t>
      </w:r>
      <w:r>
        <w:rPr>
          <w:sz w:val="24"/>
        </w:rPr>
        <w:t xml:space="preserve"> research has led to other sources that predate the alleged 1840 speech and leave Dr. Lindsley </w:t>
      </w:r>
      <w:r w:rsidR="00E91197">
        <w:rPr>
          <w:sz w:val="24"/>
        </w:rPr>
        <w:t xml:space="preserve">and </w:t>
      </w:r>
      <w:r>
        <w:rPr>
          <w:sz w:val="24"/>
        </w:rPr>
        <w:t xml:space="preserve">Grundy largely out of the picture. </w:t>
      </w:r>
      <w:r w:rsidR="00CD1458">
        <w:rPr>
          <w:sz w:val="24"/>
        </w:rPr>
        <w:t>The earliest written reference to date</w:t>
      </w:r>
      <w:r w:rsidR="00092541">
        <w:rPr>
          <w:sz w:val="24"/>
        </w:rPr>
        <w:t xml:space="preserve"> </w:t>
      </w:r>
      <w:proofErr w:type="gramStart"/>
      <w:r w:rsidR="00092541">
        <w:rPr>
          <w:sz w:val="24"/>
        </w:rPr>
        <w:t>can be found</w:t>
      </w:r>
      <w:proofErr w:type="gramEnd"/>
      <w:r w:rsidR="00092541">
        <w:rPr>
          <w:sz w:val="24"/>
        </w:rPr>
        <w:t xml:space="preserve"> in a heated battle between </w:t>
      </w:r>
      <w:r w:rsidR="00CD1458">
        <w:rPr>
          <w:sz w:val="24"/>
        </w:rPr>
        <w:t>editors</w:t>
      </w:r>
      <w:r w:rsidR="00092541">
        <w:rPr>
          <w:sz w:val="24"/>
        </w:rPr>
        <w:t xml:space="preserve"> </w:t>
      </w:r>
      <w:r w:rsidR="00CD1458">
        <w:rPr>
          <w:sz w:val="24"/>
        </w:rPr>
        <w:t>of</w:t>
      </w:r>
      <w:r w:rsidR="00092541">
        <w:rPr>
          <w:sz w:val="24"/>
        </w:rPr>
        <w:t xml:space="preserve"> </w:t>
      </w:r>
      <w:r w:rsidR="00092541" w:rsidRPr="00092541">
        <w:rPr>
          <w:i/>
          <w:sz w:val="24"/>
        </w:rPr>
        <w:t>The</w:t>
      </w:r>
      <w:r w:rsidR="00092541">
        <w:rPr>
          <w:sz w:val="24"/>
        </w:rPr>
        <w:t xml:space="preserve"> </w:t>
      </w:r>
      <w:r w:rsidR="00092541" w:rsidRPr="00092541">
        <w:rPr>
          <w:i/>
          <w:sz w:val="24"/>
        </w:rPr>
        <w:t>Nashville Union</w:t>
      </w:r>
      <w:r w:rsidR="00092541">
        <w:rPr>
          <w:sz w:val="24"/>
        </w:rPr>
        <w:t xml:space="preserve"> and the </w:t>
      </w:r>
      <w:r w:rsidR="00092541" w:rsidRPr="00092541">
        <w:rPr>
          <w:i/>
          <w:sz w:val="24"/>
        </w:rPr>
        <w:t>Daily</w:t>
      </w:r>
      <w:r w:rsidR="00092541">
        <w:rPr>
          <w:sz w:val="24"/>
        </w:rPr>
        <w:t xml:space="preserve"> </w:t>
      </w:r>
      <w:r w:rsidR="00092541">
        <w:rPr>
          <w:i/>
          <w:sz w:val="24"/>
        </w:rPr>
        <w:t>Republican Banner.</w:t>
      </w:r>
      <w:r w:rsidR="00092541">
        <w:rPr>
          <w:sz w:val="24"/>
        </w:rPr>
        <w:t xml:space="preserve"> On Tuesday, March 12, 1839, editors Allen A. </w:t>
      </w:r>
      <w:r w:rsidR="00092541">
        <w:rPr>
          <w:sz w:val="24"/>
        </w:rPr>
        <w:lastRenderedPageBreak/>
        <w:t xml:space="preserve">Hall and S. Nye quoted </w:t>
      </w:r>
      <w:r w:rsidR="00092541" w:rsidRPr="00092541">
        <w:rPr>
          <w:i/>
          <w:sz w:val="24"/>
        </w:rPr>
        <w:t>The Nashville Union</w:t>
      </w:r>
      <w:r w:rsidR="00092541">
        <w:rPr>
          <w:sz w:val="24"/>
        </w:rPr>
        <w:t xml:space="preserve"> in an attempt to rebuttal the Jacksonian organ’s explanation of </w:t>
      </w:r>
      <w:r w:rsidR="00CD1458">
        <w:rPr>
          <w:sz w:val="24"/>
        </w:rPr>
        <w:t xml:space="preserve">similarities between </w:t>
      </w:r>
      <w:r w:rsidR="00092541">
        <w:rPr>
          <w:sz w:val="24"/>
        </w:rPr>
        <w:t>Boston and Nashville</w:t>
      </w:r>
      <w:r w:rsidR="00CD1458">
        <w:rPr>
          <w:sz w:val="24"/>
        </w:rPr>
        <w:t>’s cultural lifestyles</w:t>
      </w:r>
      <w:r w:rsidR="00092541">
        <w:rPr>
          <w:sz w:val="24"/>
        </w:rPr>
        <w:t>. Within this heated political word-fight</w:t>
      </w:r>
      <w:r w:rsidR="00474DE7">
        <w:rPr>
          <w:sz w:val="24"/>
        </w:rPr>
        <w:t>, the title “Athens of the West</w:t>
      </w:r>
      <w:r w:rsidR="00092541">
        <w:rPr>
          <w:sz w:val="24"/>
        </w:rPr>
        <w:t>” emerges that differs from previous statements and research</w:t>
      </w:r>
      <w:r w:rsidR="00474DE7">
        <w:rPr>
          <w:sz w:val="24"/>
        </w:rPr>
        <w:t xml:space="preserve"> relating the title strictly to Nashville’s educational reform</w:t>
      </w:r>
      <w:r w:rsidR="008949F7">
        <w:rPr>
          <w:sz w:val="24"/>
        </w:rPr>
        <w:t xml:space="preserve"> (See Figure 1-4)</w:t>
      </w:r>
      <w:r w:rsidR="00092541">
        <w:rPr>
          <w:sz w:val="24"/>
        </w:rPr>
        <w:t xml:space="preserve">. </w:t>
      </w:r>
      <w:r w:rsidR="00092541" w:rsidRPr="00092541">
        <w:rPr>
          <w:i/>
          <w:sz w:val="24"/>
        </w:rPr>
        <w:t xml:space="preserve">The Nashville </w:t>
      </w:r>
      <w:r w:rsidR="00092541">
        <w:rPr>
          <w:i/>
          <w:sz w:val="24"/>
        </w:rPr>
        <w:t>Union</w:t>
      </w:r>
      <w:r w:rsidR="00092541">
        <w:rPr>
          <w:sz w:val="24"/>
        </w:rPr>
        <w:t xml:space="preserve">’s </w:t>
      </w:r>
      <w:proofErr w:type="gramStart"/>
      <w:r w:rsidR="00092541">
        <w:rPr>
          <w:sz w:val="24"/>
        </w:rPr>
        <w:t>editor</w:t>
      </w:r>
      <w:proofErr w:type="gramEnd"/>
      <w:r w:rsidR="00092541">
        <w:rPr>
          <w:sz w:val="24"/>
        </w:rPr>
        <w:t xml:space="preserve"> Colonel J. George Harris, who had been an editorial pupil of George D. Prentice in New England prior to the </w:t>
      </w:r>
      <w:r w:rsidR="001348AE" w:rsidRPr="001348AE">
        <w:rPr>
          <w:i/>
          <w:sz w:val="24"/>
        </w:rPr>
        <w:t xml:space="preserve">Nashville </w:t>
      </w:r>
      <w:r w:rsidR="00092541" w:rsidRPr="00092541">
        <w:rPr>
          <w:i/>
          <w:sz w:val="24"/>
        </w:rPr>
        <w:t>Union</w:t>
      </w:r>
      <w:r w:rsidR="00092541" w:rsidRPr="00A5148D">
        <w:rPr>
          <w:sz w:val="24"/>
        </w:rPr>
        <w:t>,</w:t>
      </w:r>
      <w:r w:rsidR="00A5148D" w:rsidRPr="00A5148D">
        <w:rPr>
          <w:rStyle w:val="FootnoteReference"/>
          <w:sz w:val="24"/>
        </w:rPr>
        <w:footnoteReference w:id="27"/>
      </w:r>
      <w:r w:rsidR="00092541">
        <w:rPr>
          <w:sz w:val="24"/>
        </w:rPr>
        <w:t xml:space="preserve"> states:</w:t>
      </w:r>
    </w:p>
    <w:p w:rsidR="00840D41" w:rsidRDefault="00092541" w:rsidP="00092541">
      <w:pPr>
        <w:spacing w:line="480" w:lineRule="auto"/>
        <w:ind w:left="1440" w:firstLine="720"/>
        <w:contextualSpacing/>
        <w:rPr>
          <w:sz w:val="24"/>
        </w:rPr>
      </w:pPr>
      <w:r>
        <w:rPr>
          <w:sz w:val="24"/>
        </w:rPr>
        <w:t xml:space="preserve">If Boston is called the ‘Athens of the East,’ we know not why Nashville may not be called the ‘Athens of the West’ – for certainly we never were in two places so strikingly similar, in manners, customs, fashions, and </w:t>
      </w:r>
      <w:proofErr w:type="spellStart"/>
      <w:r>
        <w:rPr>
          <w:sz w:val="24"/>
        </w:rPr>
        <w:t>every thing</w:t>
      </w:r>
      <w:proofErr w:type="spellEnd"/>
      <w:r>
        <w:rPr>
          <w:sz w:val="24"/>
        </w:rPr>
        <w:t xml:space="preserve"> that adorns civilized life – and if either takes the lead, it is the latter.</w:t>
      </w:r>
      <w:r w:rsidR="001348AE" w:rsidRPr="001348AE">
        <w:rPr>
          <w:rStyle w:val="FootnoteReference"/>
          <w:sz w:val="24"/>
        </w:rPr>
        <w:t xml:space="preserve"> </w:t>
      </w:r>
      <w:r w:rsidR="001348AE">
        <w:rPr>
          <w:rStyle w:val="FootnoteReference"/>
          <w:sz w:val="24"/>
        </w:rPr>
        <w:footnoteReference w:id="28"/>
      </w:r>
      <w:r>
        <w:rPr>
          <w:sz w:val="24"/>
        </w:rPr>
        <w:t xml:space="preserve"> </w:t>
      </w:r>
    </w:p>
    <w:p w:rsidR="00B557BA" w:rsidRDefault="001348AE" w:rsidP="006A2213">
      <w:pPr>
        <w:spacing w:line="480" w:lineRule="auto"/>
        <w:contextualSpacing/>
        <w:rPr>
          <w:sz w:val="24"/>
        </w:rPr>
      </w:pPr>
      <w:r w:rsidRPr="001348AE">
        <w:rPr>
          <w:sz w:val="24"/>
        </w:rPr>
        <w:t xml:space="preserve">The </w:t>
      </w:r>
      <w:r w:rsidRPr="001348AE">
        <w:rPr>
          <w:i/>
          <w:sz w:val="24"/>
        </w:rPr>
        <w:t xml:space="preserve">Daily Republican Banner </w:t>
      </w:r>
      <w:r w:rsidR="00B41C84">
        <w:rPr>
          <w:sz w:val="24"/>
        </w:rPr>
        <w:t>heated response was:</w:t>
      </w:r>
    </w:p>
    <w:p w:rsidR="002209DE" w:rsidRDefault="00B41C84" w:rsidP="002209DE">
      <w:pPr>
        <w:spacing w:line="480" w:lineRule="auto"/>
        <w:ind w:left="1440" w:firstLine="720"/>
        <w:contextualSpacing/>
        <w:rPr>
          <w:sz w:val="24"/>
        </w:rPr>
      </w:pPr>
      <w:r>
        <w:rPr>
          <w:sz w:val="24"/>
        </w:rPr>
        <w:t xml:space="preserve">If Boston and Nashville so nearly resemble each other in point of “manners, customs, fashions, and </w:t>
      </w:r>
      <w:proofErr w:type="spellStart"/>
      <w:r>
        <w:rPr>
          <w:sz w:val="24"/>
        </w:rPr>
        <w:t>every thing</w:t>
      </w:r>
      <w:proofErr w:type="spellEnd"/>
      <w:r>
        <w:rPr>
          <w:sz w:val="24"/>
        </w:rPr>
        <w:t xml:space="preserve"> that adorns civilized life,” as the editor of the Union asserts, we wonder at his desire to abuse and misrepresent Mr. Bell for paying a visit to the former city.</w:t>
      </w:r>
      <w:r w:rsidR="008E3285">
        <w:rPr>
          <w:rStyle w:val="FootnoteReference"/>
          <w:sz w:val="24"/>
        </w:rPr>
        <w:footnoteReference w:id="29"/>
      </w:r>
      <w:r>
        <w:rPr>
          <w:sz w:val="24"/>
        </w:rPr>
        <w:t xml:space="preserve"> </w:t>
      </w:r>
    </w:p>
    <w:p w:rsidR="009006A2" w:rsidRDefault="002209DE" w:rsidP="00B158C0">
      <w:pPr>
        <w:keepNext/>
        <w:spacing w:line="480" w:lineRule="auto"/>
        <w:ind w:left="90"/>
        <w:contextualSpacing/>
        <w:jc w:val="center"/>
      </w:pPr>
      <w:r>
        <w:rPr>
          <w:i/>
          <w:noProof/>
        </w:rPr>
        <w:lastRenderedPageBreak/>
        <w:drawing>
          <wp:inline distT="0" distB="0" distL="0" distR="0" wp14:anchorId="2F6792FF" wp14:editId="337F118F">
            <wp:extent cx="3467100" cy="2731375"/>
            <wp:effectExtent l="0" t="0" r="0" b="0"/>
            <wp:docPr id="7" name="Picture 7" descr="C:\Users\Luke\Desktop\Clipping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uke\Desktop\Clipping 3.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1" t="23284" r="528" b="36743"/>
                    <a:stretch/>
                  </pic:blipFill>
                  <pic:spPr bwMode="auto">
                    <a:xfrm>
                      <a:off x="0" y="0"/>
                      <a:ext cx="3469806" cy="2733507"/>
                    </a:xfrm>
                    <a:prstGeom prst="rect">
                      <a:avLst/>
                    </a:prstGeom>
                    <a:noFill/>
                    <a:ln>
                      <a:noFill/>
                    </a:ln>
                    <a:effectLst>
                      <a:softEdge rad="31750"/>
                    </a:effectLst>
                    <a:extLst>
                      <a:ext uri="{53640926-AAD7-44D8-BBD7-CCE9431645EC}">
                        <a14:shadowObscured xmlns:a14="http://schemas.microsoft.com/office/drawing/2010/main"/>
                      </a:ext>
                    </a:extLst>
                  </pic:spPr>
                </pic:pic>
              </a:graphicData>
            </a:graphic>
          </wp:inline>
        </w:drawing>
      </w:r>
    </w:p>
    <w:p w:rsidR="00B41C84" w:rsidRPr="00240953" w:rsidRDefault="009006A2" w:rsidP="00240953">
      <w:pPr>
        <w:pStyle w:val="Heading2"/>
        <w:jc w:val="center"/>
      </w:pPr>
      <w:bookmarkStart w:id="21" w:name="_Toc468630823"/>
      <w:bookmarkStart w:id="22" w:name="_Toc468648991"/>
      <w:r w:rsidRPr="00240953">
        <w:t>Figure 1</w:t>
      </w:r>
      <w:r w:rsidRPr="00240953">
        <w:noBreakHyphen/>
      </w:r>
      <w:r w:rsidR="00F0668B" w:rsidRPr="00240953">
        <w:t>4</w:t>
      </w:r>
      <w:r w:rsidR="00240953">
        <w:t>:</w:t>
      </w:r>
      <w:r w:rsidRPr="00240953">
        <w:t xml:space="preserve"> Colonel J. George Harris, </w:t>
      </w:r>
      <w:proofErr w:type="gramStart"/>
      <w:r w:rsidRPr="00240953">
        <w:t>The</w:t>
      </w:r>
      <w:proofErr w:type="gramEnd"/>
      <w:r w:rsidRPr="00240953">
        <w:t xml:space="preserve"> Nashville Union</w:t>
      </w:r>
      <w:r w:rsidR="00842FC3" w:rsidRPr="00240953">
        <w:t xml:space="preserve"> –</w:t>
      </w:r>
      <w:r w:rsidRPr="00240953">
        <w:t xml:space="preserve"> March 11, 1839</w:t>
      </w:r>
      <w:bookmarkEnd w:id="21"/>
      <w:bookmarkEnd w:id="22"/>
    </w:p>
    <w:p w:rsidR="009006A2" w:rsidRPr="009006A2" w:rsidRDefault="009006A2" w:rsidP="009006A2">
      <w:pPr>
        <w:spacing w:line="480" w:lineRule="auto"/>
        <w:contextualSpacing/>
        <w:jc w:val="center"/>
        <w:rPr>
          <w:color w:val="548DD4" w:themeColor="text2" w:themeTint="99"/>
          <w:sz w:val="24"/>
        </w:rPr>
      </w:pPr>
      <w:proofErr w:type="gramStart"/>
      <w:r>
        <w:rPr>
          <w:color w:val="548DD4" w:themeColor="text2" w:themeTint="99"/>
          <w:sz w:val="24"/>
        </w:rPr>
        <w:t xml:space="preserve">Courtesy of Tennessee State Library </w:t>
      </w:r>
      <w:r w:rsidR="00BE1825">
        <w:rPr>
          <w:color w:val="548DD4" w:themeColor="text2" w:themeTint="99"/>
          <w:sz w:val="24"/>
        </w:rPr>
        <w:t xml:space="preserve">and </w:t>
      </w:r>
      <w:r>
        <w:rPr>
          <w:color w:val="548DD4" w:themeColor="text2" w:themeTint="99"/>
          <w:sz w:val="24"/>
        </w:rPr>
        <w:t>Archives.</w:t>
      </w:r>
      <w:proofErr w:type="gramEnd"/>
    </w:p>
    <w:p w:rsidR="00B41C84" w:rsidRDefault="00B41C84" w:rsidP="009006A2">
      <w:pPr>
        <w:spacing w:line="480" w:lineRule="auto"/>
        <w:contextualSpacing/>
        <w:rPr>
          <w:sz w:val="24"/>
        </w:rPr>
      </w:pPr>
      <w:r>
        <w:rPr>
          <w:sz w:val="24"/>
        </w:rPr>
        <w:tab/>
        <w:t xml:space="preserve">Certainly, the title emerges in an entirely different context than is initially expected in light of previous scholarship on the matter. The classical identity of Nashville is credited here as the result of similarity between Nashville and Boston. Rather than the importance of classical education and a cultural hub that might be comparable to Athens alone, it results from a comparison </w:t>
      </w:r>
      <w:r w:rsidR="00CC0E76">
        <w:rPr>
          <w:sz w:val="24"/>
        </w:rPr>
        <w:t xml:space="preserve">of political origins </w:t>
      </w:r>
      <w:r>
        <w:rPr>
          <w:sz w:val="24"/>
        </w:rPr>
        <w:t xml:space="preserve">between Boston and Nashville, leaving classical Athens out entirely, </w:t>
      </w:r>
      <w:proofErr w:type="gramStart"/>
      <w:r>
        <w:rPr>
          <w:sz w:val="24"/>
        </w:rPr>
        <w:t>save</w:t>
      </w:r>
      <w:proofErr w:type="gramEnd"/>
      <w:r>
        <w:rPr>
          <w:sz w:val="24"/>
        </w:rPr>
        <w:t xml:space="preserve"> for the reputational title. It should also be noticed that this was only two years after Dr. Lindsley’s brainstorming speech in 1837 as to how education at the university could be improved (especially expanding the classical elements) and a year before the alleged 1840 speech. </w:t>
      </w:r>
    </w:p>
    <w:p w:rsidR="009B6916" w:rsidRDefault="00B41C84" w:rsidP="00B41C84">
      <w:pPr>
        <w:spacing w:line="480" w:lineRule="auto"/>
        <w:ind w:firstLine="720"/>
        <w:contextualSpacing/>
        <w:rPr>
          <w:sz w:val="24"/>
        </w:rPr>
      </w:pPr>
      <w:r>
        <w:rPr>
          <w:sz w:val="24"/>
        </w:rPr>
        <w:t xml:space="preserve">Considering the tone of voice and perspective of the editor of the </w:t>
      </w:r>
      <w:r w:rsidRPr="00B41C84">
        <w:rPr>
          <w:i/>
          <w:sz w:val="24"/>
        </w:rPr>
        <w:t>Union</w:t>
      </w:r>
      <w:r>
        <w:rPr>
          <w:sz w:val="24"/>
        </w:rPr>
        <w:t xml:space="preserve">, either two scenarios provide his justification for reinforcing the “Athens of the West” title. Either </w:t>
      </w:r>
      <w:r w:rsidR="00A75377">
        <w:rPr>
          <w:sz w:val="24"/>
        </w:rPr>
        <w:t>it</w:t>
      </w:r>
      <w:r>
        <w:rPr>
          <w:sz w:val="24"/>
        </w:rPr>
        <w:t xml:space="preserve"> has existed for a short time, and he provides a defense for its justified use by </w:t>
      </w:r>
      <w:r>
        <w:rPr>
          <w:sz w:val="24"/>
        </w:rPr>
        <w:lastRenderedPageBreak/>
        <w:t xml:space="preserve">comparing Boston with a similar title to Nashville, or he is inventing the title himself, defending his creation. If the former is the case, then contemporary reasoning for the new cultural title </w:t>
      </w:r>
      <w:proofErr w:type="gramStart"/>
      <w:r>
        <w:rPr>
          <w:sz w:val="24"/>
        </w:rPr>
        <w:t>is not immediately linked</w:t>
      </w:r>
      <w:proofErr w:type="gramEnd"/>
      <w:r>
        <w:rPr>
          <w:sz w:val="24"/>
        </w:rPr>
        <w:t xml:space="preserve"> to education, but becomes so in light of the educational reforms at the time. In the event that the latter is the case, all who </w:t>
      </w:r>
      <w:proofErr w:type="gramStart"/>
      <w:r>
        <w:rPr>
          <w:sz w:val="24"/>
        </w:rPr>
        <w:t>are currently credited</w:t>
      </w:r>
      <w:proofErr w:type="gramEnd"/>
      <w:r>
        <w:rPr>
          <w:sz w:val="24"/>
        </w:rPr>
        <w:t xml:space="preserve"> with the expression (Lindsley, Grundy, and Halsey) took the cultural phrase from the </w:t>
      </w:r>
      <w:r w:rsidRPr="00B41C84">
        <w:rPr>
          <w:i/>
          <w:sz w:val="24"/>
        </w:rPr>
        <w:t>Union</w:t>
      </w:r>
      <w:r>
        <w:rPr>
          <w:sz w:val="24"/>
        </w:rPr>
        <w:t xml:space="preserve">, whose sole reason was to culturally tie the culture of Nashville to that of the East coast port city of Boston. </w:t>
      </w:r>
    </w:p>
    <w:p w:rsidR="00017682" w:rsidRDefault="00B41C84" w:rsidP="00B41C84">
      <w:pPr>
        <w:spacing w:line="480" w:lineRule="auto"/>
        <w:ind w:firstLine="720"/>
        <w:contextualSpacing/>
        <w:rPr>
          <w:sz w:val="24"/>
        </w:rPr>
      </w:pPr>
      <w:r>
        <w:rPr>
          <w:sz w:val="24"/>
        </w:rPr>
        <w:t xml:space="preserve">Numerous are the possibilities that explain why Colonel Harris would want to so readily compare one of the easternmost cities with one of the westernmost. </w:t>
      </w:r>
      <w:r w:rsidR="00E22977">
        <w:rPr>
          <w:sz w:val="24"/>
        </w:rPr>
        <w:t xml:space="preserve">No </w:t>
      </w:r>
      <w:proofErr w:type="gramStart"/>
      <w:r w:rsidR="00E22977">
        <w:rPr>
          <w:sz w:val="24"/>
        </w:rPr>
        <w:t>doubt</w:t>
      </w:r>
      <w:proofErr w:type="gramEnd"/>
      <w:r w:rsidR="00E22977">
        <w:rPr>
          <w:sz w:val="24"/>
        </w:rPr>
        <w:t xml:space="preserve"> probably the most likely is due to the Westward Expansion, of course, the Manifest Destiny of the new order in</w:t>
      </w:r>
      <w:r w:rsidR="00C23374">
        <w:rPr>
          <w:sz w:val="24"/>
        </w:rPr>
        <w:t xml:space="preserve"> America. Since its early settlement, the land of Nashville was always promising as it was </w:t>
      </w:r>
      <w:proofErr w:type="gramStart"/>
      <w:r w:rsidR="00C23374">
        <w:rPr>
          <w:sz w:val="24"/>
        </w:rPr>
        <w:t>well-located</w:t>
      </w:r>
      <w:proofErr w:type="gramEnd"/>
      <w:r w:rsidR="00C23374">
        <w:rPr>
          <w:sz w:val="24"/>
        </w:rPr>
        <w:t xml:space="preserve"> by a navigable river and contained mostly fertile land. Of course, the </w:t>
      </w:r>
      <w:r w:rsidR="00EF1AA7">
        <w:rPr>
          <w:sz w:val="24"/>
        </w:rPr>
        <w:t>alluring nature</w:t>
      </w:r>
      <w:r w:rsidR="00C23374">
        <w:rPr>
          <w:sz w:val="24"/>
        </w:rPr>
        <w:t xml:space="preserve"> of the land </w:t>
      </w:r>
      <w:r w:rsidR="00EF1AA7">
        <w:rPr>
          <w:sz w:val="24"/>
        </w:rPr>
        <w:t>is as equal in the westward movement</w:t>
      </w:r>
      <w:r w:rsidR="00C23374">
        <w:rPr>
          <w:sz w:val="24"/>
        </w:rPr>
        <w:t xml:space="preserve"> as those Tennesseans who would play a direct </w:t>
      </w:r>
      <w:r w:rsidR="00EF1AA7">
        <w:rPr>
          <w:sz w:val="24"/>
        </w:rPr>
        <w:t xml:space="preserve">and </w:t>
      </w:r>
      <w:r w:rsidR="00C23374">
        <w:rPr>
          <w:sz w:val="24"/>
        </w:rPr>
        <w:t xml:space="preserve">influential role in the expansionism of the United States. </w:t>
      </w:r>
      <w:proofErr w:type="gramStart"/>
      <w:r w:rsidR="00C23374">
        <w:rPr>
          <w:sz w:val="24"/>
        </w:rPr>
        <w:t xml:space="preserve">James Knox Polk, when elected President of the United States, </w:t>
      </w:r>
      <w:r w:rsidR="004D0008">
        <w:rPr>
          <w:sz w:val="24"/>
        </w:rPr>
        <w:t xml:space="preserve">increased </w:t>
      </w:r>
      <w:r w:rsidR="00C23374">
        <w:rPr>
          <w:sz w:val="24"/>
        </w:rPr>
        <w:t>the size of</w:t>
      </w:r>
      <w:r w:rsidR="00FF1AB0">
        <w:rPr>
          <w:sz w:val="24"/>
        </w:rPr>
        <w:t xml:space="preserve"> the nation by one-third from 1845 to 18</w:t>
      </w:r>
      <w:r w:rsidR="00C23374">
        <w:rPr>
          <w:sz w:val="24"/>
        </w:rPr>
        <w:t>49.</w:t>
      </w:r>
      <w:proofErr w:type="gramEnd"/>
      <w:r w:rsidR="00C23374">
        <w:rPr>
          <w:sz w:val="24"/>
        </w:rPr>
        <w:t xml:space="preserve"> </w:t>
      </w:r>
      <w:proofErr w:type="gramStart"/>
      <w:r w:rsidR="00C23374">
        <w:rPr>
          <w:sz w:val="24"/>
        </w:rPr>
        <w:t>But</w:t>
      </w:r>
      <w:proofErr w:type="gramEnd"/>
      <w:r w:rsidR="00C23374">
        <w:rPr>
          <w:sz w:val="24"/>
        </w:rPr>
        <w:t xml:space="preserve"> before Polk’s great program, Nashville was one of the cities on the New Frontier, as far from Boston as one could get. </w:t>
      </w:r>
      <w:r w:rsidR="00017682">
        <w:rPr>
          <w:sz w:val="24"/>
        </w:rPr>
        <w:t xml:space="preserve">Another </w:t>
      </w:r>
      <w:r w:rsidR="003D6813">
        <w:rPr>
          <w:sz w:val="24"/>
        </w:rPr>
        <w:t>possibility</w:t>
      </w:r>
      <w:r w:rsidR="00017682">
        <w:rPr>
          <w:sz w:val="24"/>
        </w:rPr>
        <w:t xml:space="preserve"> </w:t>
      </w:r>
      <w:r w:rsidR="00336F6F">
        <w:rPr>
          <w:sz w:val="24"/>
        </w:rPr>
        <w:t>was</w:t>
      </w:r>
      <w:r w:rsidR="00017682">
        <w:rPr>
          <w:sz w:val="24"/>
        </w:rPr>
        <w:t xml:space="preserve"> that </w:t>
      </w:r>
      <w:r w:rsidR="00017682" w:rsidRPr="00017682">
        <w:rPr>
          <w:sz w:val="24"/>
        </w:rPr>
        <w:t xml:space="preserve">Colonel Harris </w:t>
      </w:r>
      <w:r w:rsidR="003D6813">
        <w:rPr>
          <w:sz w:val="24"/>
        </w:rPr>
        <w:t>wish</w:t>
      </w:r>
      <w:r w:rsidR="00336F6F">
        <w:rPr>
          <w:sz w:val="24"/>
        </w:rPr>
        <w:t>ed</w:t>
      </w:r>
      <w:r w:rsidR="003D6813">
        <w:rPr>
          <w:sz w:val="24"/>
        </w:rPr>
        <w:t xml:space="preserve"> to compare </w:t>
      </w:r>
      <w:r w:rsidR="00CD3878">
        <w:rPr>
          <w:sz w:val="24"/>
        </w:rPr>
        <w:t xml:space="preserve">Nashville to </w:t>
      </w:r>
      <w:r w:rsidR="00E222DC">
        <w:rPr>
          <w:sz w:val="24"/>
        </w:rPr>
        <w:t xml:space="preserve">Boston to increase </w:t>
      </w:r>
      <w:r w:rsidR="00336F6F">
        <w:rPr>
          <w:sz w:val="24"/>
        </w:rPr>
        <w:t xml:space="preserve">the </w:t>
      </w:r>
      <w:r w:rsidR="00E222DC">
        <w:rPr>
          <w:sz w:val="24"/>
        </w:rPr>
        <w:t>prestige of Nashville as a western city</w:t>
      </w:r>
      <w:r w:rsidR="00BD2DA1">
        <w:rPr>
          <w:sz w:val="24"/>
        </w:rPr>
        <w:t xml:space="preserve"> as it began to grow and improve</w:t>
      </w:r>
      <w:r w:rsidR="00E222DC">
        <w:rPr>
          <w:sz w:val="24"/>
        </w:rPr>
        <w:t xml:space="preserve">. </w:t>
      </w:r>
      <w:r w:rsidR="00510F81">
        <w:rPr>
          <w:sz w:val="24"/>
        </w:rPr>
        <w:t>Relating a smaller western city with a well-established eastern one would go far to attract attention to Nashville and increase its glory.</w:t>
      </w:r>
    </w:p>
    <w:p w:rsidR="00C23374" w:rsidRDefault="00C23374" w:rsidP="00B41C84">
      <w:pPr>
        <w:spacing w:line="480" w:lineRule="auto"/>
        <w:ind w:firstLine="720"/>
        <w:contextualSpacing/>
        <w:rPr>
          <w:sz w:val="24"/>
        </w:rPr>
      </w:pPr>
      <w:r>
        <w:rPr>
          <w:sz w:val="24"/>
        </w:rPr>
        <w:lastRenderedPageBreak/>
        <w:t xml:space="preserve">Whether Colonel J. George Harris was the first to label Nashville with the culturally adaptive title “Athens of the West,” he </w:t>
      </w:r>
      <w:r w:rsidR="00631B7F">
        <w:rPr>
          <w:sz w:val="24"/>
        </w:rPr>
        <w:t xml:space="preserve">was </w:t>
      </w:r>
      <w:r>
        <w:rPr>
          <w:sz w:val="24"/>
        </w:rPr>
        <w:t xml:space="preserve">certainly </w:t>
      </w:r>
      <w:r w:rsidR="00F22A5C">
        <w:rPr>
          <w:sz w:val="24"/>
        </w:rPr>
        <w:t xml:space="preserve">one of the earliest </w:t>
      </w:r>
      <w:r>
        <w:rPr>
          <w:sz w:val="24"/>
        </w:rPr>
        <w:t>to pen the official title and provide explanation as to its existence in 1839, predating all other research</w:t>
      </w:r>
      <w:r w:rsidR="00F22A5C">
        <w:rPr>
          <w:sz w:val="24"/>
        </w:rPr>
        <w:t xml:space="preserve"> thus far</w:t>
      </w:r>
      <w:r>
        <w:rPr>
          <w:sz w:val="24"/>
        </w:rPr>
        <w:t xml:space="preserve">, save for Louise Davis’s 1825 claim. </w:t>
      </w:r>
      <w:r w:rsidR="00754A2B">
        <w:rPr>
          <w:sz w:val="24"/>
        </w:rPr>
        <w:t>Perhaps all of these elite individuals of Nashville play an important role in developing the title, increasing the</w:t>
      </w:r>
      <w:r w:rsidR="00F22A5C">
        <w:rPr>
          <w:sz w:val="24"/>
        </w:rPr>
        <w:t xml:space="preserve"> cultural worth o</w:t>
      </w:r>
      <w:r w:rsidR="008747BF">
        <w:rPr>
          <w:sz w:val="24"/>
        </w:rPr>
        <w:t xml:space="preserve">f the city, but painting such an ideal portrait as to the elitist, educated origins and legend of such an identity is commonplace, especially since cultural identities are </w:t>
      </w:r>
      <w:proofErr w:type="gramStart"/>
      <w:r w:rsidR="008747BF">
        <w:rPr>
          <w:sz w:val="24"/>
        </w:rPr>
        <w:t>fairly fluid</w:t>
      </w:r>
      <w:proofErr w:type="gramEnd"/>
      <w:r w:rsidR="008747BF">
        <w:rPr>
          <w:sz w:val="24"/>
        </w:rPr>
        <w:t xml:space="preserve"> anyways</w:t>
      </w:r>
      <w:r w:rsidR="00754A2B">
        <w:rPr>
          <w:sz w:val="24"/>
        </w:rPr>
        <w:t xml:space="preserve">. </w:t>
      </w:r>
      <w:r w:rsidR="00754A2B">
        <w:rPr>
          <w:sz w:val="24"/>
        </w:rPr>
        <w:tab/>
      </w:r>
    </w:p>
    <w:p w:rsidR="00136C90" w:rsidRDefault="00FB545B" w:rsidP="00136C90">
      <w:pPr>
        <w:spacing w:line="480" w:lineRule="auto"/>
        <w:ind w:firstLine="720"/>
        <w:contextualSpacing/>
        <w:rPr>
          <w:sz w:val="24"/>
          <w:szCs w:val="24"/>
        </w:rPr>
      </w:pPr>
      <w:r>
        <w:rPr>
          <w:sz w:val="24"/>
        </w:rPr>
        <w:t>As for Boston’s classical Athens identity,</w:t>
      </w:r>
      <w:r w:rsidR="008747BF">
        <w:rPr>
          <w:sz w:val="24"/>
        </w:rPr>
        <w:t xml:space="preserve"> </w:t>
      </w:r>
      <w:r w:rsidR="00787E66">
        <w:rPr>
          <w:sz w:val="24"/>
        </w:rPr>
        <w:t xml:space="preserve">William Tudor </w:t>
      </w:r>
      <w:r>
        <w:rPr>
          <w:sz w:val="24"/>
        </w:rPr>
        <w:t>labels</w:t>
      </w:r>
      <w:r w:rsidR="00787E66">
        <w:rPr>
          <w:sz w:val="24"/>
        </w:rPr>
        <w:t xml:space="preserve"> </w:t>
      </w:r>
      <w:r>
        <w:rPr>
          <w:sz w:val="24"/>
        </w:rPr>
        <w:t xml:space="preserve">Boston </w:t>
      </w:r>
      <w:r w:rsidR="00787E66">
        <w:rPr>
          <w:sz w:val="24"/>
        </w:rPr>
        <w:t xml:space="preserve">as the “Athens of America” and in the early nineteenth century as “Athens of the East” </w:t>
      </w:r>
      <w:r w:rsidR="00D225B8">
        <w:rPr>
          <w:sz w:val="24"/>
        </w:rPr>
        <w:t>in a letter dating 1819, describing the democracy and cultural and intellectual advancements of the city</w:t>
      </w:r>
      <w:r w:rsidR="00EB68A7">
        <w:rPr>
          <w:sz w:val="24"/>
        </w:rPr>
        <w:t>.</w:t>
      </w:r>
      <w:r w:rsidR="00D225B8">
        <w:rPr>
          <w:sz w:val="24"/>
        </w:rPr>
        <w:t xml:space="preserve"> William Tudor</w:t>
      </w:r>
      <w:r w:rsidR="00FF21CB">
        <w:rPr>
          <w:sz w:val="24"/>
        </w:rPr>
        <w:t xml:space="preserve"> was </w:t>
      </w:r>
      <w:r w:rsidR="00D225B8">
        <w:rPr>
          <w:sz w:val="24"/>
        </w:rPr>
        <w:t xml:space="preserve">an editor and co-founder of the </w:t>
      </w:r>
      <w:r w:rsidR="00D225B8" w:rsidRPr="00D225B8">
        <w:rPr>
          <w:i/>
          <w:sz w:val="24"/>
        </w:rPr>
        <w:t>North American review</w:t>
      </w:r>
      <w:r w:rsidR="00FF21CB">
        <w:rPr>
          <w:sz w:val="24"/>
        </w:rPr>
        <w:t xml:space="preserve">, </w:t>
      </w:r>
      <w:r w:rsidR="00D225B8">
        <w:rPr>
          <w:sz w:val="24"/>
        </w:rPr>
        <w:t xml:space="preserve">co-founder of </w:t>
      </w:r>
      <w:r w:rsidR="00D225B8" w:rsidRPr="00D225B8">
        <w:rPr>
          <w:rFonts w:cs="Arial"/>
          <w:i/>
          <w:iCs/>
          <w:sz w:val="24"/>
          <w:szCs w:val="24"/>
          <w:shd w:val="clear" w:color="auto" w:fill="FFFFFF"/>
        </w:rPr>
        <w:t>Monthly Anthology</w:t>
      </w:r>
      <w:r w:rsidR="00D225B8" w:rsidRPr="00D225B8">
        <w:rPr>
          <w:rFonts w:cs="Arial"/>
          <w:iCs/>
          <w:sz w:val="24"/>
          <w:szCs w:val="24"/>
          <w:shd w:val="clear" w:color="auto" w:fill="FFFFFF"/>
        </w:rPr>
        <w:t>, and co-founder of the</w:t>
      </w:r>
      <w:r w:rsidR="00D225B8" w:rsidRPr="00D225B8">
        <w:rPr>
          <w:rFonts w:cs="Arial"/>
          <w:i/>
          <w:iCs/>
          <w:sz w:val="24"/>
          <w:szCs w:val="24"/>
          <w:shd w:val="clear" w:color="auto" w:fill="FFFFFF"/>
        </w:rPr>
        <w:t xml:space="preserve"> </w:t>
      </w:r>
      <w:r w:rsidR="00D225B8" w:rsidRPr="00D225B8">
        <w:rPr>
          <w:rFonts w:cs="Arial"/>
          <w:bCs/>
          <w:sz w:val="24"/>
          <w:szCs w:val="24"/>
          <w:shd w:val="clear" w:color="auto" w:fill="FFFFFF"/>
        </w:rPr>
        <w:t xml:space="preserve">Boston </w:t>
      </w:r>
      <w:proofErr w:type="spellStart"/>
      <w:r w:rsidR="00D225B8" w:rsidRPr="00D225B8">
        <w:rPr>
          <w:rFonts w:cs="Arial"/>
          <w:bCs/>
          <w:sz w:val="24"/>
          <w:szCs w:val="24"/>
          <w:shd w:val="clear" w:color="auto" w:fill="FFFFFF"/>
        </w:rPr>
        <w:t>Athenæum</w:t>
      </w:r>
      <w:proofErr w:type="spellEnd"/>
      <w:r w:rsidR="00D225B8" w:rsidRPr="00D225B8">
        <w:rPr>
          <w:rFonts w:cs="Arial"/>
          <w:bCs/>
          <w:sz w:val="24"/>
          <w:szCs w:val="24"/>
          <w:shd w:val="clear" w:color="auto" w:fill="FFFFFF"/>
        </w:rPr>
        <w:t xml:space="preserve">, one of the oldest independent libraries </w:t>
      </w:r>
      <w:r w:rsidR="00D225B8">
        <w:rPr>
          <w:rFonts w:cs="Arial"/>
          <w:bCs/>
          <w:sz w:val="24"/>
          <w:szCs w:val="24"/>
          <w:shd w:val="clear" w:color="auto" w:fill="FFFFFF"/>
        </w:rPr>
        <w:t>in the United States</w:t>
      </w:r>
      <w:r w:rsidR="00FF21CB">
        <w:rPr>
          <w:rFonts w:cs="Arial"/>
          <w:bCs/>
          <w:sz w:val="24"/>
          <w:szCs w:val="24"/>
          <w:shd w:val="clear" w:color="auto" w:fill="FFFFFF"/>
        </w:rPr>
        <w:t>. Boston</w:t>
      </w:r>
      <w:r w:rsidR="00D225B8">
        <w:rPr>
          <w:rFonts w:cs="Arial"/>
          <w:bCs/>
          <w:sz w:val="24"/>
          <w:szCs w:val="24"/>
          <w:shd w:val="clear" w:color="auto" w:fill="FFFFFF"/>
        </w:rPr>
        <w:t xml:space="preserve"> was not the first to use the title in 1819, but other cities such as Philadelphia claimed the </w:t>
      </w:r>
      <w:r w:rsidR="00FF21CB">
        <w:rPr>
          <w:rFonts w:cs="Arial"/>
          <w:bCs/>
          <w:sz w:val="24"/>
          <w:szCs w:val="24"/>
          <w:shd w:val="clear" w:color="auto" w:fill="FFFFFF"/>
        </w:rPr>
        <w:t xml:space="preserve">“Athens” </w:t>
      </w:r>
      <w:r w:rsidR="00D225B8">
        <w:rPr>
          <w:rFonts w:cs="Arial"/>
          <w:bCs/>
          <w:sz w:val="24"/>
          <w:szCs w:val="24"/>
          <w:shd w:val="clear" w:color="auto" w:fill="FFFFFF"/>
        </w:rPr>
        <w:t>title as early as 1733</w:t>
      </w:r>
      <w:r>
        <w:rPr>
          <w:rFonts w:cs="Arial"/>
          <w:bCs/>
          <w:sz w:val="24"/>
          <w:szCs w:val="24"/>
          <w:shd w:val="clear" w:color="auto" w:fill="FFFFFF"/>
        </w:rPr>
        <w:t>.</w:t>
      </w:r>
      <w:r w:rsidR="00A5148D">
        <w:rPr>
          <w:rStyle w:val="FootnoteReference"/>
          <w:rFonts w:cs="Arial"/>
          <w:bCs/>
          <w:sz w:val="24"/>
          <w:szCs w:val="24"/>
          <w:shd w:val="clear" w:color="auto" w:fill="FFFFFF"/>
        </w:rPr>
        <w:footnoteReference w:id="30"/>
      </w:r>
      <w:r w:rsidR="00510F81">
        <w:rPr>
          <w:rFonts w:cs="Arial"/>
          <w:bCs/>
          <w:sz w:val="24"/>
          <w:szCs w:val="24"/>
          <w:shd w:val="clear" w:color="auto" w:fill="FFFFFF"/>
        </w:rPr>
        <w:t xml:space="preserve"> Therefore, many cities in America were attempting to claim a romantic prestige by claiming they were a modern day equivalent to ancient Athens in all its glory and overemphasized fame. </w:t>
      </w:r>
      <w:proofErr w:type="gramStart"/>
      <w:r w:rsidR="00510F81">
        <w:rPr>
          <w:sz w:val="24"/>
          <w:szCs w:val="24"/>
        </w:rPr>
        <w:t xml:space="preserve">In order to justify their new identity, </w:t>
      </w:r>
      <w:r w:rsidR="007534C9">
        <w:rPr>
          <w:sz w:val="24"/>
          <w:szCs w:val="24"/>
        </w:rPr>
        <w:t xml:space="preserve">Boston in the early nineteenth century was led </w:t>
      </w:r>
      <w:r w:rsidR="004D6127">
        <w:rPr>
          <w:sz w:val="24"/>
          <w:szCs w:val="24"/>
        </w:rPr>
        <w:t>by</w:t>
      </w:r>
      <w:r w:rsidR="007534C9">
        <w:rPr>
          <w:sz w:val="24"/>
          <w:szCs w:val="24"/>
        </w:rPr>
        <w:t xml:space="preserve"> </w:t>
      </w:r>
      <w:r w:rsidR="004D6127">
        <w:rPr>
          <w:sz w:val="24"/>
          <w:szCs w:val="24"/>
        </w:rPr>
        <w:t xml:space="preserve">a leadership elite, “composed of men of family background, liberal education, and managerial experience in a variety of enterprises, </w:t>
      </w:r>
      <w:r w:rsidR="002C5520">
        <w:rPr>
          <w:sz w:val="24"/>
          <w:szCs w:val="24"/>
        </w:rPr>
        <w:t xml:space="preserve">[who] </w:t>
      </w:r>
      <w:r w:rsidR="004D6127">
        <w:rPr>
          <w:sz w:val="24"/>
          <w:szCs w:val="24"/>
        </w:rPr>
        <w:t xml:space="preserve">used their </w:t>
      </w:r>
      <w:r w:rsidR="0048662B">
        <w:rPr>
          <w:sz w:val="24"/>
          <w:szCs w:val="24"/>
        </w:rPr>
        <w:t xml:space="preserve">personal talents and substantial financial resources to promote the </w:t>
      </w:r>
      <w:r w:rsidR="0048662B">
        <w:rPr>
          <w:sz w:val="24"/>
          <w:szCs w:val="24"/>
        </w:rPr>
        <w:lastRenderedPageBreak/>
        <w:t xml:space="preserve">cultural, intellectual, and humanitarian interests of Boston to the point where it would be the envy of the </w:t>
      </w:r>
      <w:r w:rsidR="002C5520">
        <w:rPr>
          <w:sz w:val="24"/>
          <w:szCs w:val="24"/>
        </w:rPr>
        <w:t>nation.</w:t>
      </w:r>
      <w:r w:rsidR="006E7684">
        <w:rPr>
          <w:sz w:val="24"/>
          <w:szCs w:val="24"/>
        </w:rPr>
        <w:t>”</w:t>
      </w:r>
      <w:r w:rsidR="00EE0610">
        <w:rPr>
          <w:rStyle w:val="FootnoteReference"/>
          <w:sz w:val="24"/>
          <w:szCs w:val="24"/>
        </w:rPr>
        <w:footnoteReference w:id="31"/>
      </w:r>
      <w:proofErr w:type="gramEnd"/>
      <w:r w:rsidR="00510F81">
        <w:rPr>
          <w:sz w:val="24"/>
          <w:szCs w:val="24"/>
        </w:rPr>
        <w:t xml:space="preserve"> This elite group in Boston saw that the customs and culture were equivalent to their notions of democracy and education. </w:t>
      </w:r>
      <w:r w:rsidR="00136C90">
        <w:rPr>
          <w:sz w:val="24"/>
          <w:szCs w:val="24"/>
        </w:rPr>
        <w:t>As they were beginning to form a new republic early in Boston’s history, “many prominent citizens tended to find new inspiration in the ideals of Athenian democracy [or their perception of it] with its exalted sense of art and literature, philosophy and citizenship.”</w:t>
      </w:r>
      <w:r w:rsidR="00136C90">
        <w:rPr>
          <w:rStyle w:val="FootnoteReference"/>
          <w:sz w:val="24"/>
          <w:szCs w:val="24"/>
        </w:rPr>
        <w:footnoteReference w:id="32"/>
      </w:r>
    </w:p>
    <w:p w:rsidR="00992740" w:rsidRDefault="00510F81" w:rsidP="00992740">
      <w:pPr>
        <w:spacing w:line="480" w:lineRule="auto"/>
        <w:ind w:firstLine="720"/>
        <w:contextualSpacing/>
        <w:rPr>
          <w:sz w:val="24"/>
        </w:rPr>
      </w:pPr>
      <w:r>
        <w:rPr>
          <w:sz w:val="24"/>
          <w:szCs w:val="24"/>
        </w:rPr>
        <w:t xml:space="preserve">When Colonel </w:t>
      </w:r>
      <w:r w:rsidR="0080678C">
        <w:rPr>
          <w:sz w:val="24"/>
          <w:szCs w:val="24"/>
        </w:rPr>
        <w:t>Harris related</w:t>
      </w:r>
      <w:r>
        <w:rPr>
          <w:sz w:val="24"/>
          <w:szCs w:val="24"/>
        </w:rPr>
        <w:t xml:space="preserve"> that the </w:t>
      </w:r>
      <w:r w:rsidR="0080678C">
        <w:rPr>
          <w:sz w:val="24"/>
        </w:rPr>
        <w:t xml:space="preserve">manners, customs, fashions, and everything that adorns civilized life was equal in both Boston and Nashville and stated that Nashville was more the leader of the two, he attempts to weave a creative narrative that increased morale and pride in Nashville despite the disrepair of the education systems at that time. Certainly, </w:t>
      </w:r>
      <w:r w:rsidR="00D2240E">
        <w:rPr>
          <w:sz w:val="24"/>
        </w:rPr>
        <w:t>his motivations would inclu</w:t>
      </w:r>
      <w:r w:rsidR="00171674">
        <w:rPr>
          <w:sz w:val="24"/>
        </w:rPr>
        <w:t>de speaking highly of his month-</w:t>
      </w:r>
      <w:r w:rsidR="00D2240E">
        <w:rPr>
          <w:sz w:val="24"/>
        </w:rPr>
        <w:t xml:space="preserve">long residency in Nashville. </w:t>
      </w:r>
    </w:p>
    <w:p w:rsidR="006E763E" w:rsidRDefault="00D2240E" w:rsidP="00992740">
      <w:pPr>
        <w:spacing w:line="480" w:lineRule="auto"/>
        <w:ind w:firstLine="720"/>
        <w:contextualSpacing/>
        <w:rPr>
          <w:sz w:val="24"/>
        </w:rPr>
      </w:pPr>
      <w:r>
        <w:rPr>
          <w:sz w:val="24"/>
        </w:rPr>
        <w:t xml:space="preserve">Therefore, </w:t>
      </w:r>
      <w:r w:rsidR="00F45116">
        <w:rPr>
          <w:sz w:val="24"/>
        </w:rPr>
        <w:t>Nashville’s cultural identity as “Athens of the South” proceeded from the romanticized view of the classics and the pr</w:t>
      </w:r>
      <w:r w:rsidR="00171674">
        <w:rPr>
          <w:sz w:val="24"/>
        </w:rPr>
        <w:t xml:space="preserve">estige of the educated elite’s infatuation with ancient Athens </w:t>
      </w:r>
      <w:r w:rsidR="00992740">
        <w:rPr>
          <w:sz w:val="24"/>
        </w:rPr>
        <w:t>cultural icon to resemble, embody, and retain the elite status quo. However, in Nashville’s history, this cultural identity does not remain stagnant or undeveloped</w:t>
      </w:r>
      <w:r w:rsidR="00333C56">
        <w:rPr>
          <w:sz w:val="24"/>
        </w:rPr>
        <w:t xml:space="preserve"> as the people flock to their created identification</w:t>
      </w:r>
      <w:r w:rsidR="00992740">
        <w:rPr>
          <w:sz w:val="24"/>
        </w:rPr>
        <w:t xml:space="preserve">. As the states proceeded into civil war, Nashville </w:t>
      </w:r>
      <w:proofErr w:type="gramStart"/>
      <w:r w:rsidR="00992740">
        <w:rPr>
          <w:sz w:val="24"/>
        </w:rPr>
        <w:t>might have been greatly affected</w:t>
      </w:r>
      <w:proofErr w:type="gramEnd"/>
      <w:r w:rsidR="00333C56">
        <w:rPr>
          <w:sz w:val="24"/>
        </w:rPr>
        <w:t xml:space="preserve"> </w:t>
      </w:r>
      <w:r w:rsidR="00B169D0">
        <w:rPr>
          <w:sz w:val="24"/>
        </w:rPr>
        <w:t>in every way</w:t>
      </w:r>
      <w:r w:rsidR="00992740">
        <w:rPr>
          <w:sz w:val="24"/>
        </w:rPr>
        <w:t xml:space="preserve">, but the </w:t>
      </w:r>
      <w:r w:rsidR="00B53DBB">
        <w:rPr>
          <w:sz w:val="24"/>
        </w:rPr>
        <w:t xml:space="preserve">Athens </w:t>
      </w:r>
      <w:r w:rsidR="008949F7">
        <w:rPr>
          <w:sz w:val="24"/>
        </w:rPr>
        <w:t>identity</w:t>
      </w:r>
      <w:r w:rsidR="00B53DBB">
        <w:rPr>
          <w:sz w:val="24"/>
        </w:rPr>
        <w:t xml:space="preserve"> </w:t>
      </w:r>
      <w:r w:rsidR="00B169D0">
        <w:rPr>
          <w:sz w:val="24"/>
        </w:rPr>
        <w:t>then addressed</w:t>
      </w:r>
      <w:r w:rsidR="00B53DBB">
        <w:rPr>
          <w:sz w:val="24"/>
        </w:rPr>
        <w:t xml:space="preserve"> a new audience, as the impact of the war redefine</w:t>
      </w:r>
      <w:r w:rsidR="00B169D0">
        <w:rPr>
          <w:sz w:val="24"/>
        </w:rPr>
        <w:t>d</w:t>
      </w:r>
      <w:r w:rsidR="00B53DBB">
        <w:rPr>
          <w:sz w:val="24"/>
        </w:rPr>
        <w:t xml:space="preserve"> democracy, lifestyle, and customs</w:t>
      </w:r>
      <w:r w:rsidR="008949F7">
        <w:rPr>
          <w:sz w:val="24"/>
        </w:rPr>
        <w:t xml:space="preserve"> of the growing city (See Figure 1-5)</w:t>
      </w:r>
      <w:r w:rsidR="00B53DBB">
        <w:rPr>
          <w:sz w:val="24"/>
        </w:rPr>
        <w:t xml:space="preserve">. Emerging from </w:t>
      </w:r>
      <w:r w:rsidR="00027F44">
        <w:rPr>
          <w:sz w:val="24"/>
        </w:rPr>
        <w:t xml:space="preserve">war, Nashville </w:t>
      </w:r>
      <w:r w:rsidR="00027F44">
        <w:rPr>
          <w:sz w:val="24"/>
        </w:rPr>
        <w:lastRenderedPageBreak/>
        <w:t>now shifted the “Athens of the West” identity to reflect the “Athens of the South” transition</w:t>
      </w:r>
      <w:r w:rsidR="00333C56">
        <w:rPr>
          <w:sz w:val="24"/>
        </w:rPr>
        <w:t xml:space="preserve"> and a new upcoming century and </w:t>
      </w:r>
      <w:r w:rsidR="00B169D0">
        <w:rPr>
          <w:sz w:val="24"/>
        </w:rPr>
        <w:t xml:space="preserve">the first </w:t>
      </w:r>
      <w:r w:rsidR="00333C56">
        <w:rPr>
          <w:sz w:val="24"/>
        </w:rPr>
        <w:t xml:space="preserve">centennial for Nashville and the </w:t>
      </w:r>
      <w:r w:rsidR="00B169D0">
        <w:rPr>
          <w:sz w:val="24"/>
        </w:rPr>
        <w:t xml:space="preserve">entire state of Tennessee. </w:t>
      </w:r>
    </w:p>
    <w:p w:rsidR="00B169D0" w:rsidRPr="00992740" w:rsidRDefault="00B169D0" w:rsidP="00992740">
      <w:pPr>
        <w:spacing w:line="480" w:lineRule="auto"/>
        <w:ind w:firstLine="720"/>
        <w:contextualSpacing/>
        <w:rPr>
          <w:sz w:val="24"/>
          <w:szCs w:val="24"/>
        </w:rPr>
      </w:pPr>
    </w:p>
    <w:p w:rsidR="007F65F7" w:rsidRDefault="004605CC" w:rsidP="007F65F7">
      <w:pPr>
        <w:keepNext/>
        <w:spacing w:line="480" w:lineRule="auto"/>
        <w:contextualSpacing/>
      </w:pPr>
      <w:r>
        <w:rPr>
          <w:noProof/>
          <w:sz w:val="24"/>
          <w:szCs w:val="24"/>
        </w:rPr>
        <w:drawing>
          <wp:inline distT="0" distB="0" distL="0" distR="0" wp14:anchorId="2CD17B62" wp14:editId="7B772FAC">
            <wp:extent cx="5697015" cy="39611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 of Nashville 187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97015" cy="3961130"/>
                    </a:xfrm>
                    <a:prstGeom prst="rect">
                      <a:avLst/>
                    </a:prstGeom>
                    <a:effectLst>
                      <a:softEdge rad="63500"/>
                    </a:effectLst>
                  </pic:spPr>
                </pic:pic>
              </a:graphicData>
            </a:graphic>
          </wp:inline>
        </w:drawing>
      </w:r>
    </w:p>
    <w:p w:rsidR="006C48FE" w:rsidRPr="002D5B01" w:rsidRDefault="007F65F7" w:rsidP="002D5B01">
      <w:pPr>
        <w:pStyle w:val="Heading2"/>
        <w:jc w:val="center"/>
      </w:pPr>
      <w:bookmarkStart w:id="23" w:name="_Toc468630824"/>
      <w:bookmarkStart w:id="24" w:name="_Toc468648992"/>
      <w:r w:rsidRPr="002D5B01">
        <w:t>Figure 1</w:t>
      </w:r>
      <w:r w:rsidR="00F0668B" w:rsidRPr="002D5B01">
        <w:t>-5</w:t>
      </w:r>
      <w:r w:rsidR="002D5B01" w:rsidRPr="002D5B01">
        <w:t>:</w:t>
      </w:r>
      <w:r w:rsidRPr="002D5B01">
        <w:t xml:space="preserve"> </w:t>
      </w:r>
      <w:r w:rsidR="006C48FE" w:rsidRPr="002D5B01">
        <w:t>Map of the city of Nashville and vicinity 1877</w:t>
      </w:r>
      <w:bookmarkEnd w:id="23"/>
      <w:bookmarkEnd w:id="24"/>
    </w:p>
    <w:p w:rsidR="0053382F" w:rsidRDefault="007F65F7" w:rsidP="004E0130">
      <w:pPr>
        <w:spacing w:line="240" w:lineRule="auto"/>
        <w:contextualSpacing/>
        <w:jc w:val="center"/>
        <w:rPr>
          <w:color w:val="548DD4" w:themeColor="text2" w:themeTint="99"/>
          <w:sz w:val="24"/>
          <w:szCs w:val="24"/>
        </w:rPr>
      </w:pPr>
      <w:proofErr w:type="gramStart"/>
      <w:r w:rsidRPr="001E30D6">
        <w:rPr>
          <w:color w:val="548DD4" w:themeColor="text2" w:themeTint="99"/>
          <w:sz w:val="24"/>
          <w:szCs w:val="24"/>
        </w:rPr>
        <w:t>Courtesy of</w:t>
      </w:r>
      <w:r w:rsidRPr="001E30D6">
        <w:rPr>
          <w:i/>
          <w:color w:val="548DD4" w:themeColor="text2" w:themeTint="99"/>
          <w:sz w:val="24"/>
          <w:szCs w:val="24"/>
        </w:rPr>
        <w:t xml:space="preserve"> </w:t>
      </w:r>
      <w:r w:rsidRPr="001E30D6">
        <w:rPr>
          <w:color w:val="548DD4" w:themeColor="text2" w:themeTint="99"/>
          <w:sz w:val="24"/>
          <w:szCs w:val="24"/>
        </w:rPr>
        <w:t>the Library of Congress.</w:t>
      </w:r>
      <w:proofErr w:type="gramEnd"/>
      <w:r w:rsidRPr="001E30D6">
        <w:rPr>
          <w:color w:val="548DD4" w:themeColor="text2" w:themeTint="99"/>
          <w:sz w:val="24"/>
          <w:szCs w:val="24"/>
        </w:rPr>
        <w:t xml:space="preserve"> </w:t>
      </w:r>
      <w:r w:rsidR="00F30F6E" w:rsidRPr="001E30D6">
        <w:rPr>
          <w:color w:val="548DD4" w:themeColor="text2" w:themeTint="99"/>
          <w:sz w:val="24"/>
          <w:szCs w:val="24"/>
        </w:rPr>
        <w:t xml:space="preserve">Wilbur F. Foster, </w:t>
      </w:r>
      <w:r w:rsidR="00F30F6E" w:rsidRPr="001E30D6">
        <w:rPr>
          <w:i/>
          <w:color w:val="548DD4" w:themeColor="text2" w:themeTint="99"/>
          <w:sz w:val="24"/>
          <w:szCs w:val="24"/>
        </w:rPr>
        <w:t>Map of the city of Nashville and vicinity</w:t>
      </w:r>
      <w:r w:rsidR="00F30F6E" w:rsidRPr="001E30D6">
        <w:rPr>
          <w:color w:val="548DD4" w:themeColor="text2" w:themeTint="99"/>
          <w:sz w:val="24"/>
          <w:szCs w:val="24"/>
        </w:rPr>
        <w:t>. [</w:t>
      </w:r>
      <w:proofErr w:type="spellStart"/>
      <w:r w:rsidR="00F30F6E" w:rsidRPr="001E30D6">
        <w:rPr>
          <w:color w:val="548DD4" w:themeColor="text2" w:themeTint="99"/>
          <w:sz w:val="24"/>
          <w:szCs w:val="24"/>
        </w:rPr>
        <w:t>S.l.</w:t>
      </w:r>
      <w:proofErr w:type="spellEnd"/>
      <w:r w:rsidR="00F30F6E" w:rsidRPr="001E30D6">
        <w:rPr>
          <w:color w:val="548DD4" w:themeColor="text2" w:themeTint="99"/>
          <w:sz w:val="24"/>
          <w:szCs w:val="24"/>
        </w:rPr>
        <w:t xml:space="preserve">: </w:t>
      </w:r>
      <w:proofErr w:type="spellStart"/>
      <w:r w:rsidR="00F30F6E" w:rsidRPr="001E30D6">
        <w:rPr>
          <w:color w:val="548DD4" w:themeColor="text2" w:themeTint="99"/>
          <w:sz w:val="24"/>
          <w:szCs w:val="24"/>
        </w:rPr>
        <w:t>s.n</w:t>
      </w:r>
      <w:proofErr w:type="spellEnd"/>
      <w:r w:rsidR="00F30F6E" w:rsidRPr="001E30D6">
        <w:rPr>
          <w:color w:val="548DD4" w:themeColor="text2" w:themeTint="99"/>
          <w:sz w:val="24"/>
          <w:szCs w:val="24"/>
        </w:rPr>
        <w:t xml:space="preserve">, 1877] </w:t>
      </w:r>
      <w:proofErr w:type="gramStart"/>
      <w:r w:rsidR="00F30F6E" w:rsidRPr="001E30D6">
        <w:rPr>
          <w:color w:val="548DD4" w:themeColor="text2" w:themeTint="99"/>
          <w:sz w:val="24"/>
          <w:szCs w:val="24"/>
        </w:rPr>
        <w:t>Map.</w:t>
      </w:r>
      <w:proofErr w:type="gramEnd"/>
      <w:r w:rsidR="00F30F6E" w:rsidRPr="001E30D6">
        <w:rPr>
          <w:color w:val="548DD4" w:themeColor="text2" w:themeTint="99"/>
          <w:sz w:val="24"/>
          <w:szCs w:val="24"/>
        </w:rPr>
        <w:t xml:space="preserve"> </w:t>
      </w:r>
      <w:proofErr w:type="gramStart"/>
      <w:r w:rsidR="00F30F6E" w:rsidRPr="001E30D6">
        <w:rPr>
          <w:color w:val="548DD4" w:themeColor="text2" w:themeTint="99"/>
          <w:sz w:val="24"/>
          <w:szCs w:val="24"/>
        </w:rPr>
        <w:t xml:space="preserve">Retrieved from the Library of Congress, </w:t>
      </w:r>
      <w:hyperlink r:id="rId16" w:history="1">
        <w:r w:rsidR="00F30F6E" w:rsidRPr="0082690E">
          <w:rPr>
            <w:rStyle w:val="Hyperlink"/>
            <w:color w:val="548DD4" w:themeColor="text2" w:themeTint="99"/>
            <w:sz w:val="24"/>
            <w:szCs w:val="24"/>
          </w:rPr>
          <w:t>https://www.loc.gov/item/2011590011/</w:t>
        </w:r>
      </w:hyperlink>
      <w:r w:rsidR="00F30F6E" w:rsidRPr="001E30D6">
        <w:rPr>
          <w:color w:val="548DD4" w:themeColor="text2" w:themeTint="99"/>
          <w:sz w:val="24"/>
          <w:szCs w:val="24"/>
        </w:rPr>
        <w:t>.</w:t>
      </w:r>
      <w:proofErr w:type="gramEnd"/>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4E0130">
      <w:pPr>
        <w:spacing w:line="240" w:lineRule="auto"/>
        <w:contextualSpacing/>
        <w:jc w:val="center"/>
        <w:rPr>
          <w:color w:val="548DD4" w:themeColor="text2" w:themeTint="99"/>
          <w:sz w:val="24"/>
          <w:szCs w:val="24"/>
        </w:rPr>
      </w:pPr>
    </w:p>
    <w:p w:rsidR="002D5B01" w:rsidRDefault="002D5B01" w:rsidP="002F50FC">
      <w:pPr>
        <w:spacing w:line="240" w:lineRule="auto"/>
        <w:contextualSpacing/>
        <w:rPr>
          <w:color w:val="548DD4" w:themeColor="text2" w:themeTint="99"/>
          <w:sz w:val="24"/>
          <w:szCs w:val="24"/>
        </w:rPr>
      </w:pPr>
    </w:p>
    <w:p w:rsidR="007E1C29" w:rsidRPr="004E0130" w:rsidRDefault="007E1C29" w:rsidP="002F50FC">
      <w:pPr>
        <w:spacing w:line="240" w:lineRule="auto"/>
        <w:contextualSpacing/>
        <w:rPr>
          <w:color w:val="548DD4" w:themeColor="text2" w:themeTint="99"/>
          <w:sz w:val="24"/>
          <w:szCs w:val="24"/>
        </w:rPr>
      </w:pPr>
    </w:p>
    <w:p w:rsidR="00AF2687" w:rsidRPr="00F30F6E" w:rsidRDefault="004E2EEF" w:rsidP="005F43BB">
      <w:pPr>
        <w:pStyle w:val="Heading1"/>
        <w:spacing w:line="480" w:lineRule="auto"/>
        <w:contextualSpacing/>
        <w:jc w:val="center"/>
        <w:rPr>
          <w:i/>
        </w:rPr>
      </w:pPr>
      <w:bookmarkStart w:id="25" w:name="_Toc468630825"/>
      <w:r w:rsidRPr="00F30F6E">
        <w:rPr>
          <w:i/>
        </w:rPr>
        <w:lastRenderedPageBreak/>
        <w:t xml:space="preserve">Chapter </w:t>
      </w:r>
      <w:r w:rsidR="00A00600">
        <w:rPr>
          <w:i/>
        </w:rPr>
        <w:t>II</w:t>
      </w:r>
      <w:r w:rsidR="00F30F6E" w:rsidRPr="00F30F6E">
        <w:rPr>
          <w:i/>
        </w:rPr>
        <w:t xml:space="preserve"> – </w:t>
      </w:r>
      <w:r w:rsidR="00AF2687" w:rsidRPr="00F30F6E">
        <w:rPr>
          <w:i/>
        </w:rPr>
        <w:t>The Centennial Exposition: Enter Parthenon</w:t>
      </w:r>
      <w:bookmarkEnd w:id="25"/>
    </w:p>
    <w:p w:rsidR="00F30F6E" w:rsidRPr="00F30F6E" w:rsidRDefault="00F30F6E" w:rsidP="005F43BB">
      <w:pPr>
        <w:spacing w:line="480" w:lineRule="auto"/>
        <w:contextualSpacing/>
      </w:pPr>
    </w:p>
    <w:p w:rsidR="007B4832" w:rsidRDefault="00F02987" w:rsidP="005F43BB">
      <w:pPr>
        <w:tabs>
          <w:tab w:val="left" w:pos="720"/>
        </w:tabs>
        <w:spacing w:line="480" w:lineRule="auto"/>
        <w:contextualSpacing/>
        <w:rPr>
          <w:sz w:val="24"/>
        </w:rPr>
      </w:pPr>
      <w:r>
        <w:rPr>
          <w:sz w:val="24"/>
        </w:rPr>
        <w:tab/>
      </w:r>
      <w:r w:rsidR="00E45809">
        <w:rPr>
          <w:sz w:val="24"/>
        </w:rPr>
        <w:t xml:space="preserve">As the </w:t>
      </w:r>
      <w:r w:rsidR="00946843">
        <w:rPr>
          <w:sz w:val="24"/>
        </w:rPr>
        <w:t xml:space="preserve">nineteenth </w:t>
      </w:r>
      <w:r w:rsidR="00E45809">
        <w:rPr>
          <w:sz w:val="24"/>
        </w:rPr>
        <w:t xml:space="preserve">century progressed, so did the cultural identity of Nashville. Withstanding the </w:t>
      </w:r>
      <w:r w:rsidR="00BB2C55">
        <w:rPr>
          <w:sz w:val="24"/>
        </w:rPr>
        <w:t xml:space="preserve">slivering of the social fabric of the nation before, during, and after the civil war, Nashville’s classical cultural identity </w:t>
      </w:r>
      <w:r w:rsidR="00E7571A">
        <w:rPr>
          <w:sz w:val="24"/>
        </w:rPr>
        <w:t xml:space="preserve">as “Athens of the West” was </w:t>
      </w:r>
      <w:r w:rsidR="00BB2C55">
        <w:rPr>
          <w:sz w:val="24"/>
        </w:rPr>
        <w:t xml:space="preserve">not as prominent as it once was. Even the famous </w:t>
      </w:r>
      <w:r w:rsidR="00BB2C55" w:rsidRPr="00893606">
        <w:rPr>
          <w:i/>
          <w:sz w:val="24"/>
        </w:rPr>
        <w:t>History of Nashville Tennessee</w:t>
      </w:r>
      <w:r w:rsidR="00893606">
        <w:rPr>
          <w:sz w:val="24"/>
        </w:rPr>
        <w:t xml:space="preserve"> by </w:t>
      </w:r>
      <w:r w:rsidR="005F4472">
        <w:rPr>
          <w:sz w:val="24"/>
        </w:rPr>
        <w:t>H. W. Crew</w:t>
      </w:r>
      <w:r w:rsidR="00BB2C55">
        <w:rPr>
          <w:sz w:val="24"/>
        </w:rPr>
        <w:t>,</w:t>
      </w:r>
      <w:r w:rsidR="002F50FC">
        <w:rPr>
          <w:rStyle w:val="FootnoteReference"/>
          <w:sz w:val="24"/>
        </w:rPr>
        <w:footnoteReference w:id="33"/>
      </w:r>
      <w:r w:rsidR="00BB2C55">
        <w:rPr>
          <w:sz w:val="24"/>
        </w:rPr>
        <w:t xml:space="preserve"> a source filled with </w:t>
      </w:r>
      <w:r w:rsidR="00E7571A">
        <w:rPr>
          <w:sz w:val="24"/>
        </w:rPr>
        <w:t xml:space="preserve">some of the </w:t>
      </w:r>
      <w:proofErr w:type="gramStart"/>
      <w:r w:rsidR="00E7571A">
        <w:rPr>
          <w:sz w:val="24"/>
        </w:rPr>
        <w:t>most minute</w:t>
      </w:r>
      <w:proofErr w:type="gramEnd"/>
      <w:r w:rsidR="00E7571A">
        <w:rPr>
          <w:sz w:val="24"/>
        </w:rPr>
        <w:t xml:space="preserve"> details</w:t>
      </w:r>
      <w:r w:rsidR="00BB2C55">
        <w:rPr>
          <w:sz w:val="24"/>
        </w:rPr>
        <w:t xml:space="preserve"> from primary sources that form Nashville’s history, does not draw attention to the “Athens of the West” or “Athens of the South” titles when it was published in </w:t>
      </w:r>
      <w:r>
        <w:rPr>
          <w:sz w:val="24"/>
        </w:rPr>
        <w:t xml:space="preserve">1890. </w:t>
      </w:r>
      <w:proofErr w:type="gramStart"/>
      <w:r>
        <w:rPr>
          <w:sz w:val="24"/>
        </w:rPr>
        <w:t>Yet for certain</w:t>
      </w:r>
      <w:proofErr w:type="gramEnd"/>
      <w:r>
        <w:rPr>
          <w:sz w:val="24"/>
        </w:rPr>
        <w:t xml:space="preserve"> individuals, the history of Nashville and the classical identity that had been forged was </w:t>
      </w:r>
      <w:r w:rsidR="0095003D">
        <w:rPr>
          <w:sz w:val="24"/>
        </w:rPr>
        <w:t>of the upmost importance when it came to revitalizing Nashville as a cultural, economic, and political hub for the South</w:t>
      </w:r>
      <w:r w:rsidR="004801DF">
        <w:rPr>
          <w:sz w:val="24"/>
        </w:rPr>
        <w:t xml:space="preserve"> at the turn of the next century</w:t>
      </w:r>
      <w:r w:rsidR="0095003D">
        <w:rPr>
          <w:sz w:val="24"/>
        </w:rPr>
        <w:t xml:space="preserve">. Though there is no known specific shift in the usage of “west” and “south” in the cultural label, the final decade of the nineteenth century played a large role </w:t>
      </w:r>
      <w:r w:rsidR="008163B1">
        <w:rPr>
          <w:sz w:val="24"/>
        </w:rPr>
        <w:t>by continuing</w:t>
      </w:r>
      <w:r w:rsidR="00893606">
        <w:rPr>
          <w:sz w:val="24"/>
        </w:rPr>
        <w:t xml:space="preserve"> </w:t>
      </w:r>
      <w:r w:rsidR="008163B1">
        <w:rPr>
          <w:sz w:val="24"/>
        </w:rPr>
        <w:t xml:space="preserve">this identity </w:t>
      </w:r>
      <w:r w:rsidR="007B4832">
        <w:rPr>
          <w:sz w:val="24"/>
        </w:rPr>
        <w:t>and readapting it at the close of the nineteenth century</w:t>
      </w:r>
      <w:r w:rsidR="002A3FF4">
        <w:rPr>
          <w:sz w:val="24"/>
        </w:rPr>
        <w:t xml:space="preserve"> with the formation of</w:t>
      </w:r>
      <w:r w:rsidR="007E1C29">
        <w:rPr>
          <w:sz w:val="24"/>
        </w:rPr>
        <w:t xml:space="preserve"> the</w:t>
      </w:r>
      <w:r w:rsidR="002A3FF4">
        <w:rPr>
          <w:sz w:val="24"/>
        </w:rPr>
        <w:t xml:space="preserve"> Tennessee Centennial Exposition and its result – the Parthenon’s emergence in Nashville. </w:t>
      </w:r>
    </w:p>
    <w:p w:rsidR="004801DF" w:rsidRDefault="004801DF" w:rsidP="00F02987">
      <w:pPr>
        <w:tabs>
          <w:tab w:val="left" w:pos="720"/>
        </w:tabs>
        <w:spacing w:line="480" w:lineRule="auto"/>
        <w:contextualSpacing/>
        <w:rPr>
          <w:sz w:val="24"/>
        </w:rPr>
      </w:pPr>
      <w:r>
        <w:rPr>
          <w:sz w:val="24"/>
        </w:rPr>
        <w:tab/>
      </w:r>
      <w:r w:rsidR="00B144A2">
        <w:rPr>
          <w:sz w:val="24"/>
        </w:rPr>
        <w:t xml:space="preserve">A particular stretch of land appears to be immediately associated with </w:t>
      </w:r>
      <w:r w:rsidR="00580151">
        <w:rPr>
          <w:sz w:val="24"/>
        </w:rPr>
        <w:t xml:space="preserve">this revitalization – as immediately associated as it was with the initial settlement of Nashville. The land </w:t>
      </w:r>
      <w:r w:rsidR="007762E2">
        <w:rPr>
          <w:sz w:val="24"/>
        </w:rPr>
        <w:t>given to Ann Robertson Johns</w:t>
      </w:r>
      <w:r w:rsidR="00EB42D1">
        <w:rPr>
          <w:sz w:val="24"/>
        </w:rPr>
        <w:t>t</w:t>
      </w:r>
      <w:r w:rsidR="007762E2">
        <w:rPr>
          <w:sz w:val="24"/>
        </w:rPr>
        <w:t>on Cockrill</w:t>
      </w:r>
      <w:r w:rsidR="00EB42D1">
        <w:rPr>
          <w:sz w:val="24"/>
        </w:rPr>
        <w:t xml:space="preserve"> </w:t>
      </w:r>
      <w:r w:rsidR="007762E2">
        <w:rPr>
          <w:sz w:val="24"/>
        </w:rPr>
        <w:t xml:space="preserve">by the state </w:t>
      </w:r>
      <w:r w:rsidR="001B4CB2">
        <w:rPr>
          <w:sz w:val="24"/>
        </w:rPr>
        <w:t xml:space="preserve">of North Carolina was to come under the jurisdiction of the Tennessee Fair Association after the Civil War. As state fairgrounds, the use of the tract began moving from private to public, </w:t>
      </w:r>
      <w:r w:rsidR="001B4CB2">
        <w:rPr>
          <w:sz w:val="24"/>
        </w:rPr>
        <w:lastRenderedPageBreak/>
        <w:t>opening itself to all in the area. In 1884</w:t>
      </w:r>
      <w:r w:rsidR="001B763B">
        <w:rPr>
          <w:sz w:val="24"/>
        </w:rPr>
        <w:t xml:space="preserve">, </w:t>
      </w:r>
      <w:r w:rsidR="00E2460C">
        <w:rPr>
          <w:sz w:val="24"/>
        </w:rPr>
        <w:t xml:space="preserve">the Tennessee Fair Association readapted the land </w:t>
      </w:r>
      <w:r w:rsidR="00B5523F">
        <w:rPr>
          <w:sz w:val="24"/>
        </w:rPr>
        <w:t xml:space="preserve">to become </w:t>
      </w:r>
      <w:r w:rsidR="00183B5E">
        <w:rPr>
          <w:sz w:val="24"/>
        </w:rPr>
        <w:t>a second</w:t>
      </w:r>
      <w:r w:rsidR="00E2460C">
        <w:rPr>
          <w:sz w:val="24"/>
        </w:rPr>
        <w:t xml:space="preserve"> racetrack in</w:t>
      </w:r>
      <w:r w:rsidR="00F504C0">
        <w:rPr>
          <w:sz w:val="24"/>
        </w:rPr>
        <w:t xml:space="preserve"> Nashville, calling it West Side Park; the other racetrack was Cumberland Park and </w:t>
      </w:r>
      <w:proofErr w:type="gramStart"/>
      <w:r w:rsidR="00F504C0">
        <w:rPr>
          <w:sz w:val="24"/>
        </w:rPr>
        <w:t>is now known</w:t>
      </w:r>
      <w:proofErr w:type="gramEnd"/>
      <w:r w:rsidR="00F504C0">
        <w:rPr>
          <w:sz w:val="24"/>
        </w:rPr>
        <w:t xml:space="preserve"> as the Tennessee State Fairgrounds. </w:t>
      </w:r>
      <w:r w:rsidR="00B5523F">
        <w:rPr>
          <w:sz w:val="24"/>
        </w:rPr>
        <w:t>West Side Park only remai</w:t>
      </w:r>
      <w:r w:rsidR="00885EE7">
        <w:rPr>
          <w:sz w:val="24"/>
        </w:rPr>
        <w:t>ned</w:t>
      </w:r>
      <w:r w:rsidR="00B5523F">
        <w:rPr>
          <w:sz w:val="24"/>
        </w:rPr>
        <w:t xml:space="preserve"> a racetrack for the city for about a decade when </w:t>
      </w:r>
      <w:r w:rsidR="00086739">
        <w:rPr>
          <w:sz w:val="24"/>
        </w:rPr>
        <w:t xml:space="preserve">certain individuals in the city began a movement that </w:t>
      </w:r>
      <w:r w:rsidR="00630FD7">
        <w:rPr>
          <w:sz w:val="24"/>
        </w:rPr>
        <w:t>changed</w:t>
      </w:r>
      <w:r w:rsidR="00086739">
        <w:rPr>
          <w:sz w:val="24"/>
        </w:rPr>
        <w:t xml:space="preserve"> the course of Nashville’s history.</w:t>
      </w:r>
    </w:p>
    <w:p w:rsidR="00297274" w:rsidRDefault="00086739" w:rsidP="00F02987">
      <w:pPr>
        <w:tabs>
          <w:tab w:val="left" w:pos="720"/>
        </w:tabs>
        <w:spacing w:line="480" w:lineRule="auto"/>
        <w:contextualSpacing/>
        <w:rPr>
          <w:sz w:val="24"/>
        </w:rPr>
      </w:pPr>
      <w:r>
        <w:rPr>
          <w:sz w:val="24"/>
        </w:rPr>
        <w:tab/>
        <w:t xml:space="preserve">Douglas Anderson, who was a Nashville attorney, proposed in </w:t>
      </w:r>
      <w:r w:rsidR="00890288">
        <w:rPr>
          <w:sz w:val="24"/>
        </w:rPr>
        <w:t>a</w:t>
      </w:r>
      <w:r>
        <w:rPr>
          <w:sz w:val="24"/>
        </w:rPr>
        <w:t xml:space="preserve"> letter to </w:t>
      </w:r>
      <w:r w:rsidR="00890288">
        <w:rPr>
          <w:sz w:val="24"/>
        </w:rPr>
        <w:t>the</w:t>
      </w:r>
      <w:r>
        <w:rPr>
          <w:sz w:val="24"/>
        </w:rPr>
        <w:t xml:space="preserve"> editor </w:t>
      </w:r>
      <w:r w:rsidR="00890288">
        <w:rPr>
          <w:sz w:val="24"/>
        </w:rPr>
        <w:t xml:space="preserve">of </w:t>
      </w:r>
      <w:r w:rsidR="00890288" w:rsidRPr="00890288">
        <w:rPr>
          <w:i/>
          <w:sz w:val="24"/>
        </w:rPr>
        <w:t>The Chattanooga Times</w:t>
      </w:r>
      <w:r w:rsidR="00890288">
        <w:rPr>
          <w:sz w:val="24"/>
        </w:rPr>
        <w:t>, “Tennesseans</w:t>
      </w:r>
      <w:r w:rsidR="007B0B75">
        <w:rPr>
          <w:sz w:val="24"/>
        </w:rPr>
        <w:t xml:space="preserve"> should celebrate the </w:t>
      </w:r>
      <w:r w:rsidR="00890288">
        <w:rPr>
          <w:sz w:val="24"/>
        </w:rPr>
        <w:t xml:space="preserve">occasion [the </w:t>
      </w:r>
      <w:r w:rsidR="007B0B75">
        <w:rPr>
          <w:sz w:val="24"/>
        </w:rPr>
        <w:t>centennial of entering the Union – an interesting proposal in the midst of the Civil War’s aftermath</w:t>
      </w:r>
      <w:r w:rsidR="00890288">
        <w:rPr>
          <w:sz w:val="24"/>
        </w:rPr>
        <w:t>] by holding a Centennial Exposition</w:t>
      </w:r>
      <w:r w:rsidR="007B0B75">
        <w:rPr>
          <w:sz w:val="24"/>
        </w:rPr>
        <w:t>.</w:t>
      </w:r>
      <w:r w:rsidR="00890288">
        <w:rPr>
          <w:sz w:val="24"/>
        </w:rPr>
        <w:t>”</w:t>
      </w:r>
      <w:r w:rsidR="00890288">
        <w:rPr>
          <w:rStyle w:val="FootnoteReference"/>
          <w:sz w:val="24"/>
        </w:rPr>
        <w:footnoteReference w:id="34"/>
      </w:r>
      <w:r w:rsidR="007B0B75">
        <w:rPr>
          <w:sz w:val="24"/>
        </w:rPr>
        <w:t xml:space="preserve"> The proposition </w:t>
      </w:r>
      <w:proofErr w:type="gramStart"/>
      <w:r w:rsidR="007B0B75">
        <w:rPr>
          <w:sz w:val="24"/>
        </w:rPr>
        <w:t>was well received</w:t>
      </w:r>
      <w:proofErr w:type="gramEnd"/>
      <w:r w:rsidR="007B0B75">
        <w:rPr>
          <w:sz w:val="24"/>
        </w:rPr>
        <w:t xml:space="preserve"> by the elite</w:t>
      </w:r>
      <w:r w:rsidR="00297274">
        <w:rPr>
          <w:sz w:val="24"/>
        </w:rPr>
        <w:t xml:space="preserve"> but did not take immediate root</w:t>
      </w:r>
      <w:r w:rsidR="007B0B75">
        <w:rPr>
          <w:sz w:val="24"/>
        </w:rPr>
        <w:t xml:space="preserve">. </w:t>
      </w:r>
      <w:proofErr w:type="gramStart"/>
      <w:r w:rsidR="00E73A97">
        <w:rPr>
          <w:sz w:val="24"/>
        </w:rPr>
        <w:t>Another proposition was made by Colonel William C. Smith</w:t>
      </w:r>
      <w:proofErr w:type="gramEnd"/>
      <w:r w:rsidR="00E73A97">
        <w:rPr>
          <w:sz w:val="24"/>
        </w:rPr>
        <w:t xml:space="preserve"> in 1894 to Nashville’s </w:t>
      </w:r>
      <w:r w:rsidR="00E12DD3">
        <w:rPr>
          <w:sz w:val="24"/>
        </w:rPr>
        <w:t>Commercial</w:t>
      </w:r>
      <w:r w:rsidR="00E73A97">
        <w:rPr>
          <w:sz w:val="24"/>
        </w:rPr>
        <w:t xml:space="preserve"> Club that </w:t>
      </w:r>
      <w:r w:rsidR="00E12DD3">
        <w:rPr>
          <w:sz w:val="24"/>
        </w:rPr>
        <w:t xml:space="preserve">they should follow through with Anderson’s proposition. </w:t>
      </w:r>
      <w:r w:rsidR="00297274">
        <w:rPr>
          <w:sz w:val="24"/>
        </w:rPr>
        <w:t>There, he presented:</w:t>
      </w:r>
    </w:p>
    <w:p w:rsidR="00297274" w:rsidRDefault="00297274" w:rsidP="003714DE">
      <w:pPr>
        <w:tabs>
          <w:tab w:val="left" w:pos="720"/>
        </w:tabs>
        <w:spacing w:line="480" w:lineRule="auto"/>
        <w:ind w:left="1440"/>
        <w:contextualSpacing/>
        <w:rPr>
          <w:sz w:val="24"/>
        </w:rPr>
      </w:pPr>
      <w:proofErr w:type="gramStart"/>
      <w:r>
        <w:rPr>
          <w:sz w:val="24"/>
        </w:rPr>
        <w:t xml:space="preserve">Gentlemen – The financial depression and shrinkage in values in this city and throughout the country, which seems to have produced a condition of so much apathy and inactivity in commercial circles, suggests and demands that an organized effort be made to divert the attention of our own people, if possible, from general depression, by setting on foot some enterprise that will interest them especially in </w:t>
      </w:r>
      <w:r w:rsidR="00DC7DC6">
        <w:rPr>
          <w:sz w:val="24"/>
        </w:rPr>
        <w:t xml:space="preserve">[sic] </w:t>
      </w:r>
      <w:r>
        <w:rPr>
          <w:sz w:val="24"/>
        </w:rPr>
        <w:t>behalf of our own State, and that will tend to enlist their aid and cooperation in furthering the interests of the c</w:t>
      </w:r>
      <w:r w:rsidR="007F5410">
        <w:rPr>
          <w:sz w:val="24"/>
        </w:rPr>
        <w:t>ity of Nashville in particular. . .</w:t>
      </w:r>
      <w:proofErr w:type="gramEnd"/>
      <w:r w:rsidR="007F5410">
        <w:rPr>
          <w:sz w:val="24"/>
        </w:rPr>
        <w:t xml:space="preserve"> The agitation of the subject with reference to such an enterprise, and the anticipation of </w:t>
      </w:r>
      <w:r w:rsidR="007F5410">
        <w:rPr>
          <w:sz w:val="24"/>
        </w:rPr>
        <w:lastRenderedPageBreak/>
        <w:t xml:space="preserve">these events, would, </w:t>
      </w:r>
      <w:proofErr w:type="gramStart"/>
      <w:r w:rsidR="007F5410">
        <w:rPr>
          <w:sz w:val="24"/>
        </w:rPr>
        <w:t>I</w:t>
      </w:r>
      <w:proofErr w:type="gramEnd"/>
      <w:r w:rsidR="007F5410">
        <w:rPr>
          <w:sz w:val="24"/>
        </w:rPr>
        <w:t xml:space="preserve"> confidently believe, give new life to the people of our city.</w:t>
      </w:r>
      <w:r w:rsidR="007F5410">
        <w:rPr>
          <w:rStyle w:val="FootnoteReference"/>
          <w:sz w:val="24"/>
        </w:rPr>
        <w:footnoteReference w:id="35"/>
      </w:r>
    </w:p>
    <w:p w:rsidR="00C57B83" w:rsidRDefault="00E56EE5" w:rsidP="00F02987">
      <w:pPr>
        <w:tabs>
          <w:tab w:val="left" w:pos="720"/>
        </w:tabs>
        <w:spacing w:line="480" w:lineRule="auto"/>
        <w:contextualSpacing/>
        <w:rPr>
          <w:sz w:val="24"/>
          <w:szCs w:val="23"/>
        </w:rPr>
      </w:pPr>
      <w:r>
        <w:rPr>
          <w:noProof/>
          <w:sz w:val="24"/>
          <w:szCs w:val="23"/>
        </w:rPr>
        <w:drawing>
          <wp:anchor distT="0" distB="0" distL="114300" distR="114300" simplePos="0" relativeHeight="251666431" behindDoc="1" locked="0" layoutInCell="1" allowOverlap="1" wp14:anchorId="5EBF7880" wp14:editId="727EA55B">
            <wp:simplePos x="0" y="0"/>
            <wp:positionH relativeFrom="margin">
              <wp:posOffset>-8255</wp:posOffset>
            </wp:positionH>
            <wp:positionV relativeFrom="margin">
              <wp:posOffset>2480310</wp:posOffset>
            </wp:positionV>
            <wp:extent cx="3638550" cy="3790950"/>
            <wp:effectExtent l="0" t="0" r="0" b="0"/>
            <wp:wrapTight wrapText="bothSides">
              <wp:wrapPolygon edited="0">
                <wp:start x="0" y="0"/>
                <wp:lineTo x="0" y="21491"/>
                <wp:lineTo x="21487" y="21491"/>
                <wp:lineTo x="21487" y="0"/>
                <wp:lineTo x="0" y="0"/>
              </wp:wrapPolygon>
            </wp:wrapTight>
            <wp:docPr id="13" name="Picture 13" descr="C:\Users\Luke\Desktop\John Tho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uke\Desktop\John Thomas.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38550" cy="3790950"/>
                    </a:xfrm>
                    <a:prstGeom prst="rect">
                      <a:avLst/>
                    </a:prstGeom>
                    <a:noFill/>
                    <a:ln>
                      <a:noFill/>
                    </a:ln>
                  </pic:spPr>
                </pic:pic>
              </a:graphicData>
            </a:graphic>
          </wp:anchor>
        </w:drawing>
      </w:r>
      <w:r w:rsidR="00AA0BC6">
        <w:rPr>
          <w:sz w:val="24"/>
        </w:rPr>
        <w:t>Given the recreational nature of the nation and economy in the 1890’s, it comes as no surprise that these ideas began to formulate in the minds of several Nashvillians. Chicago’s famous Columbian Exposition of 18</w:t>
      </w:r>
      <w:r w:rsidR="00DE1290">
        <w:rPr>
          <w:sz w:val="24"/>
        </w:rPr>
        <w:t xml:space="preserve">93, as well as similar expositions in major cities such </w:t>
      </w:r>
      <w:r w:rsidR="00DE1290" w:rsidRPr="00253904">
        <w:rPr>
          <w:sz w:val="24"/>
        </w:rPr>
        <w:t xml:space="preserve">as </w:t>
      </w:r>
      <w:r w:rsidR="00253904" w:rsidRPr="00253904">
        <w:rPr>
          <w:sz w:val="24"/>
          <w:szCs w:val="23"/>
        </w:rPr>
        <w:t>Cincinnati, Atlanta, Buffalo, and St. Louis</w:t>
      </w:r>
      <w:r w:rsidR="00253904">
        <w:rPr>
          <w:sz w:val="24"/>
          <w:szCs w:val="23"/>
        </w:rPr>
        <w:t xml:space="preserve">, inspired </w:t>
      </w:r>
      <w:r w:rsidR="00870D5C">
        <w:rPr>
          <w:sz w:val="24"/>
          <w:szCs w:val="23"/>
        </w:rPr>
        <w:t xml:space="preserve">the Nashvillian elite to catch onto the trend. </w:t>
      </w:r>
    </w:p>
    <w:p w:rsidR="00C57B83" w:rsidRDefault="00FE4D9A" w:rsidP="00F02987">
      <w:pPr>
        <w:tabs>
          <w:tab w:val="left" w:pos="720"/>
        </w:tabs>
        <w:spacing w:line="480" w:lineRule="auto"/>
        <w:contextualSpacing/>
        <w:rPr>
          <w:sz w:val="24"/>
          <w:szCs w:val="23"/>
        </w:rPr>
      </w:pPr>
      <w:r>
        <w:rPr>
          <w:noProof/>
        </w:rPr>
        <mc:AlternateContent>
          <mc:Choice Requires="wps">
            <w:drawing>
              <wp:anchor distT="0" distB="0" distL="114300" distR="114300" simplePos="0" relativeHeight="251659263" behindDoc="0" locked="0" layoutInCell="1" allowOverlap="1" wp14:anchorId="32DED5F5" wp14:editId="29C2D5AC">
                <wp:simplePos x="0" y="0"/>
                <wp:positionH relativeFrom="margin">
                  <wp:posOffset>-179070</wp:posOffset>
                </wp:positionH>
                <wp:positionV relativeFrom="paragraph">
                  <wp:posOffset>3536950</wp:posOffset>
                </wp:positionV>
                <wp:extent cx="3819525" cy="990600"/>
                <wp:effectExtent l="0" t="0" r="9525" b="0"/>
                <wp:wrapTight wrapText="bothSides">
                  <wp:wrapPolygon edited="0">
                    <wp:start x="0" y="0"/>
                    <wp:lineTo x="0" y="21185"/>
                    <wp:lineTo x="21546" y="21185"/>
                    <wp:lineTo x="21546" y="0"/>
                    <wp:lineTo x="0" y="0"/>
                  </wp:wrapPolygon>
                </wp:wrapTight>
                <wp:docPr id="29" name="Text Box 29"/>
                <wp:cNvGraphicFramePr/>
                <a:graphic xmlns:a="http://schemas.openxmlformats.org/drawingml/2006/main">
                  <a:graphicData uri="http://schemas.microsoft.com/office/word/2010/wordprocessingShape">
                    <wps:wsp>
                      <wps:cNvSpPr txBox="1"/>
                      <wps:spPr>
                        <a:xfrm>
                          <a:off x="0" y="0"/>
                          <a:ext cx="3819525" cy="990600"/>
                        </a:xfrm>
                        <a:prstGeom prst="rect">
                          <a:avLst/>
                        </a:prstGeom>
                        <a:solidFill>
                          <a:prstClr val="white"/>
                        </a:solidFill>
                        <a:ln>
                          <a:noFill/>
                        </a:ln>
                        <a:effectLst/>
                      </wps:spPr>
                      <wps:txbx>
                        <w:txbxContent>
                          <w:p w:rsidR="002F5AC7" w:rsidRPr="002D5B01" w:rsidRDefault="002F5AC7" w:rsidP="002D5B01">
                            <w:pPr>
                              <w:pStyle w:val="Heading2"/>
                              <w:jc w:val="center"/>
                            </w:pPr>
                            <w:bookmarkStart w:id="26" w:name="_Toc468628571"/>
                            <w:bookmarkStart w:id="27" w:name="_Toc468648993"/>
                            <w:bookmarkStart w:id="28" w:name="_Toc468649021"/>
                            <w:r w:rsidRPr="002D5B01">
                              <w:t>Figure 2</w:t>
                            </w:r>
                            <w:r w:rsidRPr="002D5B01">
                              <w:noBreakHyphen/>
                            </w:r>
                            <w:r w:rsidRPr="002D5B01">
                              <w:fldChar w:fldCharType="begin"/>
                            </w:r>
                            <w:r w:rsidRPr="002D5B01">
                              <w:instrText xml:space="preserve"> SEQ Figure \* ARABIC \s 1 </w:instrText>
                            </w:r>
                            <w:r w:rsidRPr="002D5B01">
                              <w:fldChar w:fldCharType="separate"/>
                            </w:r>
                            <w:r w:rsidR="00FA56AB">
                              <w:rPr>
                                <w:noProof/>
                              </w:rPr>
                              <w:t>1</w:t>
                            </w:r>
                            <w:r w:rsidRPr="002D5B01">
                              <w:fldChar w:fldCharType="end"/>
                            </w:r>
                            <w:r w:rsidRPr="002D5B01">
                              <w:t>: John W. Thomas</w:t>
                            </w:r>
                            <w:bookmarkEnd w:id="26"/>
                            <w:bookmarkEnd w:id="27"/>
                            <w:bookmarkEnd w:id="28"/>
                          </w:p>
                          <w:p w:rsidR="002F5AC7" w:rsidRPr="00A30920" w:rsidRDefault="002F5AC7" w:rsidP="00A30920">
                            <w:pPr>
                              <w:jc w:val="center"/>
                              <w:rPr>
                                <w:color w:val="548DD4" w:themeColor="text2" w:themeTint="99"/>
                                <w:sz w:val="24"/>
                              </w:rPr>
                            </w:pPr>
                            <w:proofErr w:type="gramStart"/>
                            <w:r>
                              <w:rPr>
                                <w:color w:val="548DD4" w:themeColor="text2" w:themeTint="99"/>
                                <w:sz w:val="24"/>
                              </w:rPr>
                              <w:t xml:space="preserve">Reprinted from </w:t>
                            </w:r>
                            <w:r w:rsidRPr="00A30920">
                              <w:rPr>
                                <w:color w:val="548DD4" w:themeColor="text2" w:themeTint="99"/>
                                <w:sz w:val="24"/>
                              </w:rPr>
                              <w:t xml:space="preserve">Herman </w:t>
                            </w:r>
                            <w:proofErr w:type="spellStart"/>
                            <w:r w:rsidRPr="00A30920">
                              <w:rPr>
                                <w:color w:val="548DD4" w:themeColor="text2" w:themeTint="99"/>
                                <w:sz w:val="24"/>
                              </w:rPr>
                              <w:t>Justi</w:t>
                            </w:r>
                            <w:proofErr w:type="spellEnd"/>
                            <w:r w:rsidRPr="00A30920">
                              <w:rPr>
                                <w:color w:val="548DD4" w:themeColor="text2" w:themeTint="99"/>
                                <w:sz w:val="24"/>
                              </w:rPr>
                              <w:t xml:space="preserve">, ed., </w:t>
                            </w:r>
                            <w:r w:rsidRPr="00A30920">
                              <w:rPr>
                                <w:i/>
                                <w:color w:val="548DD4" w:themeColor="text2" w:themeTint="99"/>
                                <w:sz w:val="24"/>
                              </w:rPr>
                              <w:t>The Official History of the Tennessee Centennial Exposition</w:t>
                            </w:r>
                            <w:r w:rsidRPr="00A30920">
                              <w:rPr>
                                <w:color w:val="548DD4" w:themeColor="text2" w:themeTint="99"/>
                                <w:sz w:val="24"/>
                              </w:rPr>
                              <w:t xml:space="preserve"> (Nashville: Brandon Printing, 1898), 16.</w:t>
                            </w:r>
                            <w:proofErr w:type="gram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29" type="#_x0000_t202" style="position:absolute;margin-left:-14.1pt;margin-top:278.5pt;width:300.75pt;height:78pt;z-index:25165926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" stroked="f">
                <v:textbox inset="0,0,0,0">
                  <w:txbxContent>
                    <w:p w:rsidR="002F5AC7" w:rsidRPr="002D5B01" w:rsidRDefault="002F5AC7" w:rsidP="002D5B01">
                      <w:pPr>
                        <w:pStyle w:val="Heading2"/>
                        <w:jc w:val="center"/>
                      </w:pPr>
                      <w:bookmarkStart w:id="29" w:name="_Toc468628571"/>
                      <w:bookmarkStart w:id="30" w:name="_Toc468648993"/>
                      <w:bookmarkStart w:id="31" w:name="_Toc468649021"/>
                      <w:r w:rsidRPr="002D5B01">
                        <w:t>Figure 2</w:t>
                      </w:r>
                      <w:r w:rsidRPr="002D5B01">
                        <w:noBreakHyphen/>
                      </w:r>
                      <w:r w:rsidRPr="002D5B01">
                        <w:fldChar w:fldCharType="begin"/>
                      </w:r>
                      <w:r w:rsidRPr="002D5B01">
                        <w:instrText xml:space="preserve"> SEQ Figure \* ARABIC \s 1 </w:instrText>
                      </w:r>
                      <w:r w:rsidRPr="002D5B01">
                        <w:fldChar w:fldCharType="separate"/>
                      </w:r>
                      <w:r w:rsidR="00FA56AB">
                        <w:rPr>
                          <w:noProof/>
                        </w:rPr>
                        <w:t>1</w:t>
                      </w:r>
                      <w:r w:rsidRPr="002D5B01">
                        <w:fldChar w:fldCharType="end"/>
                      </w:r>
                      <w:r w:rsidRPr="002D5B01">
                        <w:t>: John W. Thomas</w:t>
                      </w:r>
                      <w:bookmarkEnd w:id="29"/>
                      <w:bookmarkEnd w:id="30"/>
                      <w:bookmarkEnd w:id="31"/>
                    </w:p>
                    <w:p w:rsidR="002F5AC7" w:rsidRPr="00A30920" w:rsidRDefault="002F5AC7" w:rsidP="00A30920">
                      <w:pPr>
                        <w:jc w:val="center"/>
                        <w:rPr>
                          <w:color w:val="548DD4" w:themeColor="text2" w:themeTint="99"/>
                          <w:sz w:val="24"/>
                        </w:rPr>
                      </w:pPr>
                      <w:proofErr w:type="gramStart"/>
                      <w:r>
                        <w:rPr>
                          <w:color w:val="548DD4" w:themeColor="text2" w:themeTint="99"/>
                          <w:sz w:val="24"/>
                        </w:rPr>
                        <w:t xml:space="preserve">Reprinted from </w:t>
                      </w:r>
                      <w:r w:rsidRPr="00A30920">
                        <w:rPr>
                          <w:color w:val="548DD4" w:themeColor="text2" w:themeTint="99"/>
                          <w:sz w:val="24"/>
                        </w:rPr>
                        <w:t xml:space="preserve">Herman </w:t>
                      </w:r>
                      <w:proofErr w:type="spellStart"/>
                      <w:r w:rsidRPr="00A30920">
                        <w:rPr>
                          <w:color w:val="548DD4" w:themeColor="text2" w:themeTint="99"/>
                          <w:sz w:val="24"/>
                        </w:rPr>
                        <w:t>Justi</w:t>
                      </w:r>
                      <w:proofErr w:type="spellEnd"/>
                      <w:r w:rsidRPr="00A30920">
                        <w:rPr>
                          <w:color w:val="548DD4" w:themeColor="text2" w:themeTint="99"/>
                          <w:sz w:val="24"/>
                        </w:rPr>
                        <w:t xml:space="preserve">, ed., </w:t>
                      </w:r>
                      <w:r w:rsidRPr="00A30920">
                        <w:rPr>
                          <w:i/>
                          <w:color w:val="548DD4" w:themeColor="text2" w:themeTint="99"/>
                          <w:sz w:val="24"/>
                        </w:rPr>
                        <w:t>The Official History of the Tennessee Centennial Exposition</w:t>
                      </w:r>
                      <w:r w:rsidRPr="00A30920">
                        <w:rPr>
                          <w:color w:val="548DD4" w:themeColor="text2" w:themeTint="99"/>
                          <w:sz w:val="24"/>
                        </w:rPr>
                        <w:t xml:space="preserve"> (Nashville: Brandon Printing, 1898), 16.</w:t>
                      </w:r>
                      <w:proofErr w:type="gramEnd"/>
                    </w:p>
                  </w:txbxContent>
                </v:textbox>
                <w10:wrap type="tight" anchorx="margin"/>
              </v:shape>
            </w:pict>
          </mc:Fallback>
        </mc:AlternateContent>
      </w:r>
      <w:r w:rsidR="00C57B83">
        <w:rPr>
          <w:sz w:val="24"/>
          <w:szCs w:val="23"/>
        </w:rPr>
        <w:tab/>
        <w:t xml:space="preserve">Nashville agreed to the idea of a centennial celebration in the form of an exposition in Nashville. </w:t>
      </w:r>
      <w:proofErr w:type="gramStart"/>
      <w:r w:rsidR="00C57B83">
        <w:rPr>
          <w:sz w:val="24"/>
          <w:szCs w:val="23"/>
        </w:rPr>
        <w:t xml:space="preserve">James Head, former state legislator and publisher of the Nashville </w:t>
      </w:r>
      <w:r w:rsidR="00C57B83">
        <w:rPr>
          <w:i/>
          <w:sz w:val="24"/>
          <w:szCs w:val="23"/>
        </w:rPr>
        <w:t>American</w:t>
      </w:r>
      <w:r w:rsidR="00C57B83">
        <w:rPr>
          <w:sz w:val="24"/>
          <w:szCs w:val="23"/>
        </w:rPr>
        <w:t>, was appointed by the Commercial Club</w:t>
      </w:r>
      <w:proofErr w:type="gramEnd"/>
      <w:r w:rsidR="00C57B83">
        <w:rPr>
          <w:sz w:val="24"/>
          <w:szCs w:val="23"/>
        </w:rPr>
        <w:t xml:space="preserve"> after Colonel Smith’s proposition. The committee </w:t>
      </w:r>
      <w:proofErr w:type="gramStart"/>
      <w:r w:rsidR="00C57B83">
        <w:rPr>
          <w:sz w:val="24"/>
          <w:szCs w:val="23"/>
        </w:rPr>
        <w:t>was then formed</w:t>
      </w:r>
      <w:proofErr w:type="gramEnd"/>
      <w:r w:rsidR="00C57B83">
        <w:rPr>
          <w:sz w:val="24"/>
          <w:szCs w:val="23"/>
        </w:rPr>
        <w:t xml:space="preserve"> with Major Andrew W. Willis as the Director General. However, after attempting to fund the Exposition on the state and federal </w:t>
      </w:r>
      <w:r w:rsidR="00C57B83">
        <w:rPr>
          <w:sz w:val="24"/>
          <w:szCs w:val="23"/>
        </w:rPr>
        <w:lastRenderedPageBreak/>
        <w:t>levels, they both no longer held their positions on June 8, 1895</w:t>
      </w:r>
      <w:r w:rsidR="00300F29">
        <w:rPr>
          <w:sz w:val="24"/>
          <w:szCs w:val="23"/>
        </w:rPr>
        <w:t xml:space="preserve"> after</w:t>
      </w:r>
      <w:r w:rsidR="00D20C19">
        <w:rPr>
          <w:sz w:val="24"/>
          <w:szCs w:val="23"/>
        </w:rPr>
        <w:t xml:space="preserve"> an </w:t>
      </w:r>
      <w:r w:rsidR="00300F29">
        <w:rPr>
          <w:sz w:val="24"/>
          <w:szCs w:val="23"/>
        </w:rPr>
        <w:t xml:space="preserve">agreement </w:t>
      </w:r>
      <w:r w:rsidR="00C57B83">
        <w:rPr>
          <w:sz w:val="24"/>
          <w:szCs w:val="23"/>
        </w:rPr>
        <w:t>that the administration ought to have more appeal to the community and have the ability to obtain more stock</w:t>
      </w:r>
      <w:r w:rsidR="00AC68D0">
        <w:rPr>
          <w:sz w:val="24"/>
          <w:szCs w:val="23"/>
        </w:rPr>
        <w:t xml:space="preserve"> subscriptions. </w:t>
      </w:r>
      <w:proofErr w:type="gramStart"/>
      <w:r w:rsidR="00AC68D0">
        <w:rPr>
          <w:sz w:val="24"/>
          <w:szCs w:val="23"/>
        </w:rPr>
        <w:t>Naturally, the P</w:t>
      </w:r>
      <w:r w:rsidR="00C57B83">
        <w:rPr>
          <w:sz w:val="24"/>
          <w:szCs w:val="23"/>
        </w:rPr>
        <w:t>resident</w:t>
      </w:r>
      <w:r w:rsidR="00C57B83" w:rsidRPr="00C57B83">
        <w:rPr>
          <w:sz w:val="24"/>
          <w:szCs w:val="23"/>
        </w:rPr>
        <w:t xml:space="preserve"> </w:t>
      </w:r>
      <w:r w:rsidR="00C57B83">
        <w:rPr>
          <w:sz w:val="24"/>
          <w:szCs w:val="23"/>
        </w:rPr>
        <w:t>of the Nashville, Chattanooga, and St. Louis Railway companies, John W. Thomas</w:t>
      </w:r>
      <w:r w:rsidR="008949F7">
        <w:rPr>
          <w:sz w:val="24"/>
          <w:szCs w:val="23"/>
        </w:rPr>
        <w:t xml:space="preserve"> (See Figure 2-1)</w:t>
      </w:r>
      <w:r w:rsidR="00C57B83">
        <w:rPr>
          <w:sz w:val="24"/>
          <w:szCs w:val="23"/>
        </w:rPr>
        <w:t>,</w:t>
      </w:r>
      <w:r w:rsidR="00C57B83" w:rsidRPr="00C57B83">
        <w:rPr>
          <w:sz w:val="24"/>
          <w:szCs w:val="23"/>
        </w:rPr>
        <w:t xml:space="preserve"> </w:t>
      </w:r>
      <w:r w:rsidR="00885EE7">
        <w:rPr>
          <w:sz w:val="24"/>
          <w:szCs w:val="23"/>
        </w:rPr>
        <w:t>assumed</w:t>
      </w:r>
      <w:r w:rsidR="00C57B83">
        <w:rPr>
          <w:sz w:val="24"/>
          <w:szCs w:val="23"/>
        </w:rPr>
        <w:t xml:space="preserve"> the role as </w:t>
      </w:r>
      <w:r w:rsidR="00AC68D0">
        <w:rPr>
          <w:sz w:val="24"/>
          <w:szCs w:val="23"/>
        </w:rPr>
        <w:t>P</w:t>
      </w:r>
      <w:r w:rsidR="00C57B83">
        <w:rPr>
          <w:sz w:val="24"/>
          <w:szCs w:val="23"/>
        </w:rPr>
        <w:t xml:space="preserve">resident of the Centennial Exposition Company, </w:t>
      </w:r>
      <w:r>
        <w:rPr>
          <w:sz w:val="24"/>
          <w:szCs w:val="23"/>
        </w:rPr>
        <w:t>and he</w:t>
      </w:r>
      <w:r w:rsidR="00C57B83">
        <w:rPr>
          <w:sz w:val="24"/>
          <w:szCs w:val="23"/>
        </w:rPr>
        <w:t xml:space="preserve"> personally selected Major E. C. Lewis </w:t>
      </w:r>
      <w:r w:rsidR="006831A4">
        <w:rPr>
          <w:sz w:val="24"/>
          <w:szCs w:val="23"/>
        </w:rPr>
        <w:t xml:space="preserve">(See Figure 2-2) </w:t>
      </w:r>
      <w:r w:rsidR="00C57B83">
        <w:rPr>
          <w:sz w:val="24"/>
          <w:szCs w:val="23"/>
        </w:rPr>
        <w:t>as the new Director General,</w:t>
      </w:r>
      <w:r w:rsidR="00C57B83">
        <w:rPr>
          <w:rStyle w:val="FootnoteReference"/>
          <w:sz w:val="24"/>
          <w:szCs w:val="23"/>
        </w:rPr>
        <w:footnoteReference w:id="36"/>
      </w:r>
      <w:r w:rsidR="00C57B83">
        <w:rPr>
          <w:sz w:val="24"/>
          <w:szCs w:val="23"/>
        </w:rPr>
        <w:t xml:space="preserve"> who took a leave of absence as a consulting civil</w:t>
      </w:r>
      <w:r w:rsidR="00510915">
        <w:rPr>
          <w:sz w:val="24"/>
          <w:szCs w:val="23"/>
        </w:rPr>
        <w:t xml:space="preserve"> </w:t>
      </w:r>
      <w:r w:rsidR="007B6D4C">
        <w:rPr>
          <w:sz w:val="24"/>
          <w:szCs w:val="23"/>
        </w:rPr>
        <w:t xml:space="preserve">engineer with the </w:t>
      </w:r>
      <w:proofErr w:type="spellStart"/>
      <w:r w:rsidR="007B6D4C">
        <w:rPr>
          <w:sz w:val="24"/>
          <w:szCs w:val="23"/>
        </w:rPr>
        <w:t>Dupont</w:t>
      </w:r>
      <w:proofErr w:type="spellEnd"/>
      <w:r w:rsidR="007B6D4C">
        <w:rPr>
          <w:sz w:val="24"/>
          <w:szCs w:val="23"/>
        </w:rPr>
        <w:t xml:space="preserve"> Company and the Louisville and Nashville Rail</w:t>
      </w:r>
      <w:r w:rsidR="00CE28FA">
        <w:rPr>
          <w:sz w:val="24"/>
          <w:szCs w:val="23"/>
        </w:rPr>
        <w:t>way</w:t>
      </w:r>
      <w:r w:rsidR="007B6D4C">
        <w:rPr>
          <w:sz w:val="24"/>
          <w:szCs w:val="23"/>
        </w:rPr>
        <w:t>.</w:t>
      </w:r>
      <w:r w:rsidR="007B6D4C">
        <w:rPr>
          <w:rStyle w:val="FootnoteReference"/>
          <w:sz w:val="24"/>
          <w:szCs w:val="23"/>
        </w:rPr>
        <w:footnoteReference w:id="37"/>
      </w:r>
      <w:proofErr w:type="gramEnd"/>
      <w:r w:rsidR="00380A13">
        <w:rPr>
          <w:sz w:val="24"/>
          <w:szCs w:val="23"/>
        </w:rPr>
        <w:t xml:space="preserve"> Though these decisions </w:t>
      </w:r>
      <w:proofErr w:type="gramStart"/>
      <w:r w:rsidR="00380A13">
        <w:rPr>
          <w:sz w:val="24"/>
          <w:szCs w:val="23"/>
        </w:rPr>
        <w:t>are considered to have been made</w:t>
      </w:r>
      <w:proofErr w:type="gramEnd"/>
      <w:r w:rsidR="00380A13">
        <w:rPr>
          <w:sz w:val="24"/>
          <w:szCs w:val="23"/>
        </w:rPr>
        <w:t xml:space="preserve"> by Nashville collectively, they are the result of an elite governing body that recognize</w:t>
      </w:r>
      <w:r w:rsidR="00667FD2">
        <w:rPr>
          <w:sz w:val="24"/>
          <w:szCs w:val="23"/>
        </w:rPr>
        <w:t xml:space="preserve">d </w:t>
      </w:r>
      <w:r w:rsidR="00380A13">
        <w:rPr>
          <w:sz w:val="24"/>
          <w:szCs w:val="23"/>
        </w:rPr>
        <w:t xml:space="preserve">their own hard work and its </w:t>
      </w:r>
      <w:r w:rsidR="00502D90">
        <w:rPr>
          <w:noProof/>
          <w:sz w:val="24"/>
          <w:szCs w:val="23"/>
        </w:rPr>
        <w:drawing>
          <wp:anchor distT="0" distB="0" distL="114300" distR="114300" simplePos="0" relativeHeight="251673600" behindDoc="1" locked="0" layoutInCell="1" allowOverlap="1" wp14:anchorId="328BEDC5" wp14:editId="3D2D6094">
            <wp:simplePos x="0" y="0"/>
            <wp:positionH relativeFrom="margin">
              <wp:posOffset>-142875</wp:posOffset>
            </wp:positionH>
            <wp:positionV relativeFrom="margin">
              <wp:posOffset>3134995</wp:posOffset>
            </wp:positionV>
            <wp:extent cx="3339465" cy="3438525"/>
            <wp:effectExtent l="0" t="0" r="0" b="9525"/>
            <wp:wrapSquare wrapText="bothSides"/>
            <wp:docPr id="15" name="Picture 15" descr="C:\Users\Luke\Desktop\E.C. Lew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uke\Desktop\E.C. Lewis.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39465" cy="343852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00667FD2">
        <w:rPr>
          <w:sz w:val="24"/>
          <w:szCs w:val="23"/>
        </w:rPr>
        <w:t>result on</w:t>
      </w:r>
      <w:r w:rsidR="00380A13">
        <w:rPr>
          <w:sz w:val="24"/>
          <w:szCs w:val="23"/>
        </w:rPr>
        <w:t xml:space="preserve"> Nashville. </w:t>
      </w:r>
      <w:proofErr w:type="gramStart"/>
      <w:r w:rsidR="00A52D5F">
        <w:rPr>
          <w:sz w:val="24"/>
          <w:szCs w:val="23"/>
        </w:rPr>
        <w:t xml:space="preserve">Evidence </w:t>
      </w:r>
      <w:r w:rsidR="006A4047">
        <w:rPr>
          <w:sz w:val="24"/>
          <w:szCs w:val="23"/>
        </w:rPr>
        <w:t>of this appears</w:t>
      </w:r>
      <w:r w:rsidR="00A52D5F">
        <w:rPr>
          <w:sz w:val="24"/>
          <w:szCs w:val="23"/>
        </w:rPr>
        <w:t xml:space="preserve"> in a letter </w:t>
      </w:r>
      <w:r w:rsidR="006831A4">
        <w:rPr>
          <w:sz w:val="24"/>
          <w:szCs w:val="23"/>
        </w:rPr>
        <w:t xml:space="preserve">(See Figure 2-3) </w:t>
      </w:r>
      <w:r w:rsidR="00A52D5F">
        <w:rPr>
          <w:sz w:val="24"/>
          <w:szCs w:val="23"/>
        </w:rPr>
        <w:t xml:space="preserve">from the new Centennial President Thomas </w:t>
      </w:r>
      <w:r w:rsidR="006A4047">
        <w:rPr>
          <w:sz w:val="24"/>
          <w:szCs w:val="23"/>
        </w:rPr>
        <w:t xml:space="preserve">when expressing gratitude </w:t>
      </w:r>
      <w:r w:rsidR="000D095F">
        <w:rPr>
          <w:sz w:val="24"/>
          <w:szCs w:val="23"/>
        </w:rPr>
        <w:t>for</w:t>
      </w:r>
      <w:r w:rsidR="00A52D5F">
        <w:rPr>
          <w:sz w:val="24"/>
          <w:szCs w:val="23"/>
        </w:rPr>
        <w:t xml:space="preserve"> a bell </w:t>
      </w:r>
      <w:r w:rsidR="006A4047">
        <w:rPr>
          <w:sz w:val="24"/>
          <w:szCs w:val="23"/>
        </w:rPr>
        <w:t>donated</w:t>
      </w:r>
      <w:r w:rsidR="00A52D5F">
        <w:rPr>
          <w:sz w:val="24"/>
          <w:szCs w:val="23"/>
        </w:rPr>
        <w:t xml:space="preserve"> by a foundry for the </w:t>
      </w:r>
      <w:r w:rsidR="00E56EE5">
        <w:rPr>
          <w:noProof/>
        </w:rPr>
        <mc:AlternateContent>
          <mc:Choice Requires="wps">
            <w:drawing>
              <wp:anchor distT="0" distB="0" distL="114300" distR="114300" simplePos="0" relativeHeight="251657215" behindDoc="0" locked="0" layoutInCell="1" allowOverlap="1" wp14:anchorId="670991B4" wp14:editId="75278ADE">
                <wp:simplePos x="0" y="0"/>
                <wp:positionH relativeFrom="margin">
                  <wp:posOffset>-154940</wp:posOffset>
                </wp:positionH>
                <wp:positionV relativeFrom="paragraph">
                  <wp:posOffset>6620510</wp:posOffset>
                </wp:positionV>
                <wp:extent cx="4770755" cy="853440"/>
                <wp:effectExtent l="0" t="0" r="0" b="3810"/>
                <wp:wrapTight wrapText="bothSides">
                  <wp:wrapPolygon edited="0">
                    <wp:start x="0" y="0"/>
                    <wp:lineTo x="0" y="21214"/>
                    <wp:lineTo x="21476" y="21214"/>
                    <wp:lineTo x="21476" y="0"/>
                    <wp:lineTo x="0" y="0"/>
                  </wp:wrapPolygon>
                </wp:wrapTight>
                <wp:docPr id="30" name="Text Box 30"/>
                <wp:cNvGraphicFramePr/>
                <a:graphic xmlns:a="http://schemas.openxmlformats.org/drawingml/2006/main">
                  <a:graphicData uri="http://schemas.microsoft.com/office/word/2010/wordprocessingShape">
                    <wps:wsp>
                      <wps:cNvSpPr txBox="1"/>
                      <wps:spPr>
                        <a:xfrm>
                          <a:off x="0" y="0"/>
                          <a:ext cx="4770755" cy="853440"/>
                        </a:xfrm>
                        <a:prstGeom prst="rect">
                          <a:avLst/>
                        </a:prstGeom>
                        <a:solidFill>
                          <a:prstClr val="white"/>
                        </a:solidFill>
                        <a:ln>
                          <a:noFill/>
                        </a:ln>
                        <a:effectLst/>
                      </wps:spPr>
                      <wps:txbx>
                        <w:txbxContent>
                          <w:p w:rsidR="002F5AC7" w:rsidRPr="003408B0" w:rsidRDefault="002F5AC7" w:rsidP="004510E6">
                            <w:pPr>
                              <w:pStyle w:val="Heading2"/>
                              <w:jc w:val="center"/>
                            </w:pPr>
                            <w:bookmarkStart w:id="32" w:name="_Toc468628572"/>
                            <w:bookmarkStart w:id="33" w:name="_Toc468648994"/>
                            <w:bookmarkStart w:id="34" w:name="_Toc468649022"/>
                            <w:r w:rsidRPr="003408B0">
                              <w:t>Figure 2</w:t>
                            </w:r>
                            <w:r w:rsidRPr="003408B0">
                              <w:noBreakHyphen/>
                            </w:r>
                            <w:r w:rsidRPr="003408B0">
                              <w:fldChar w:fldCharType="begin"/>
                            </w:r>
                            <w:r w:rsidRPr="003408B0">
                              <w:instrText xml:space="preserve"> SEQ Figure \* ARABIC \s 1 </w:instrText>
                            </w:r>
                            <w:r w:rsidRPr="003408B0">
                              <w:fldChar w:fldCharType="separate"/>
                            </w:r>
                            <w:r w:rsidR="00FA56AB">
                              <w:rPr>
                                <w:noProof/>
                              </w:rPr>
                              <w:t>2</w:t>
                            </w:r>
                            <w:r w:rsidRPr="003408B0">
                              <w:fldChar w:fldCharType="end"/>
                            </w:r>
                            <w:r w:rsidRPr="003408B0">
                              <w:t>: Major Eugene C. Lewis</w:t>
                            </w:r>
                            <w:bookmarkEnd w:id="32"/>
                            <w:bookmarkEnd w:id="33"/>
                            <w:bookmarkEnd w:id="34"/>
                          </w:p>
                          <w:p w:rsidR="002F5AC7" w:rsidRPr="00A30920" w:rsidRDefault="002F5AC7" w:rsidP="004510E6">
                            <w:pPr>
                              <w:jc w:val="center"/>
                              <w:rPr>
                                <w:color w:val="548DD4" w:themeColor="text2" w:themeTint="99"/>
                                <w:sz w:val="24"/>
                              </w:rPr>
                            </w:pPr>
                            <w:proofErr w:type="gramStart"/>
                            <w:r>
                              <w:rPr>
                                <w:color w:val="548DD4" w:themeColor="text2" w:themeTint="99"/>
                                <w:sz w:val="24"/>
                              </w:rPr>
                              <w:t xml:space="preserve">Reprinted from </w:t>
                            </w:r>
                            <w:r w:rsidRPr="00A30920">
                              <w:rPr>
                                <w:color w:val="548DD4" w:themeColor="text2" w:themeTint="99"/>
                                <w:sz w:val="24"/>
                              </w:rPr>
                              <w:t xml:space="preserve">Herman </w:t>
                            </w:r>
                            <w:proofErr w:type="spellStart"/>
                            <w:r w:rsidRPr="00A30920">
                              <w:rPr>
                                <w:color w:val="548DD4" w:themeColor="text2" w:themeTint="99"/>
                                <w:sz w:val="24"/>
                              </w:rPr>
                              <w:t>Justi</w:t>
                            </w:r>
                            <w:proofErr w:type="spellEnd"/>
                            <w:r w:rsidRPr="00A30920">
                              <w:rPr>
                                <w:color w:val="548DD4" w:themeColor="text2" w:themeTint="99"/>
                                <w:sz w:val="24"/>
                              </w:rPr>
                              <w:t xml:space="preserve">, ed., </w:t>
                            </w:r>
                            <w:r w:rsidRPr="00A30920">
                              <w:rPr>
                                <w:i/>
                                <w:color w:val="548DD4" w:themeColor="text2" w:themeTint="99"/>
                                <w:sz w:val="24"/>
                              </w:rPr>
                              <w:t>The Official History of the Tennessee Centennial Exposition</w:t>
                            </w:r>
                            <w:r w:rsidRPr="00A30920">
                              <w:rPr>
                                <w:color w:val="548DD4" w:themeColor="text2" w:themeTint="99"/>
                                <w:sz w:val="24"/>
                              </w:rPr>
                              <w:t xml:space="preserve"> (Nashville: Brandon Printing, 1898), 1</w:t>
                            </w:r>
                            <w:r>
                              <w:rPr>
                                <w:color w:val="548DD4" w:themeColor="text2" w:themeTint="99"/>
                                <w:sz w:val="24"/>
                              </w:rPr>
                              <w:t>7</w:t>
                            </w:r>
                            <w:r w:rsidRPr="00A30920">
                              <w:rPr>
                                <w:color w:val="548DD4" w:themeColor="text2" w:themeTint="99"/>
                                <w:sz w:val="24"/>
                              </w:rPr>
                              <w:t>.</w:t>
                            </w:r>
                            <w:proofErr w:type="gramEnd"/>
                          </w:p>
                          <w:p w:rsidR="002F5AC7" w:rsidRPr="00A30920" w:rsidRDefault="002F5AC7" w:rsidP="004510E6">
                            <w:pPr>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30" type="#_x0000_t202" style="position:absolute;margin-left:-12.2pt;margin-top:521.3pt;width:375.65pt;height:67.2pt;z-index:2516572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" stroked="f">
                <v:textbox inset="0,0,0,0">
                  <w:txbxContent>
                    <w:p w:rsidR="002F5AC7" w:rsidRPr="003408B0" w:rsidRDefault="002F5AC7" w:rsidP="004510E6">
                      <w:pPr>
                        <w:pStyle w:val="Heading2"/>
                        <w:jc w:val="center"/>
                      </w:pPr>
                      <w:bookmarkStart w:id="35" w:name="_Toc468628572"/>
                      <w:bookmarkStart w:id="36" w:name="_Toc468648994"/>
                      <w:bookmarkStart w:id="37" w:name="_Toc468649022"/>
                      <w:r w:rsidRPr="003408B0">
                        <w:t>Figure 2</w:t>
                      </w:r>
                      <w:r w:rsidRPr="003408B0">
                        <w:noBreakHyphen/>
                      </w:r>
                      <w:r w:rsidRPr="003408B0">
                        <w:fldChar w:fldCharType="begin"/>
                      </w:r>
                      <w:r w:rsidRPr="003408B0">
                        <w:instrText xml:space="preserve"> SEQ Figure \* ARABIC \s 1 </w:instrText>
                      </w:r>
                      <w:r w:rsidRPr="003408B0">
                        <w:fldChar w:fldCharType="separate"/>
                      </w:r>
                      <w:r w:rsidR="00FA56AB">
                        <w:rPr>
                          <w:noProof/>
                        </w:rPr>
                        <w:t>2</w:t>
                      </w:r>
                      <w:r w:rsidRPr="003408B0">
                        <w:fldChar w:fldCharType="end"/>
                      </w:r>
                      <w:r w:rsidRPr="003408B0">
                        <w:t>: Major Eugene C. Lewis</w:t>
                      </w:r>
                      <w:bookmarkEnd w:id="35"/>
                      <w:bookmarkEnd w:id="36"/>
                      <w:bookmarkEnd w:id="37"/>
                    </w:p>
                    <w:p w:rsidR="002F5AC7" w:rsidRPr="00A30920" w:rsidRDefault="002F5AC7" w:rsidP="004510E6">
                      <w:pPr>
                        <w:jc w:val="center"/>
                        <w:rPr>
                          <w:color w:val="548DD4" w:themeColor="text2" w:themeTint="99"/>
                          <w:sz w:val="24"/>
                        </w:rPr>
                      </w:pPr>
                      <w:proofErr w:type="gramStart"/>
                      <w:r>
                        <w:rPr>
                          <w:color w:val="548DD4" w:themeColor="text2" w:themeTint="99"/>
                          <w:sz w:val="24"/>
                        </w:rPr>
                        <w:t xml:space="preserve">Reprinted from </w:t>
                      </w:r>
                      <w:r w:rsidRPr="00A30920">
                        <w:rPr>
                          <w:color w:val="548DD4" w:themeColor="text2" w:themeTint="99"/>
                          <w:sz w:val="24"/>
                        </w:rPr>
                        <w:t xml:space="preserve">Herman </w:t>
                      </w:r>
                      <w:proofErr w:type="spellStart"/>
                      <w:r w:rsidRPr="00A30920">
                        <w:rPr>
                          <w:color w:val="548DD4" w:themeColor="text2" w:themeTint="99"/>
                          <w:sz w:val="24"/>
                        </w:rPr>
                        <w:t>Justi</w:t>
                      </w:r>
                      <w:proofErr w:type="spellEnd"/>
                      <w:r w:rsidRPr="00A30920">
                        <w:rPr>
                          <w:color w:val="548DD4" w:themeColor="text2" w:themeTint="99"/>
                          <w:sz w:val="24"/>
                        </w:rPr>
                        <w:t xml:space="preserve">, ed., </w:t>
                      </w:r>
                      <w:r w:rsidRPr="00A30920">
                        <w:rPr>
                          <w:i/>
                          <w:color w:val="548DD4" w:themeColor="text2" w:themeTint="99"/>
                          <w:sz w:val="24"/>
                        </w:rPr>
                        <w:t>The Official History of the Tennessee Centennial Exposition</w:t>
                      </w:r>
                      <w:r w:rsidRPr="00A30920">
                        <w:rPr>
                          <w:color w:val="548DD4" w:themeColor="text2" w:themeTint="99"/>
                          <w:sz w:val="24"/>
                        </w:rPr>
                        <w:t xml:space="preserve"> (Nashville: Brandon Printing, 1898), 1</w:t>
                      </w:r>
                      <w:r>
                        <w:rPr>
                          <w:color w:val="548DD4" w:themeColor="text2" w:themeTint="99"/>
                          <w:sz w:val="24"/>
                        </w:rPr>
                        <w:t>7</w:t>
                      </w:r>
                      <w:r w:rsidRPr="00A30920">
                        <w:rPr>
                          <w:color w:val="548DD4" w:themeColor="text2" w:themeTint="99"/>
                          <w:sz w:val="24"/>
                        </w:rPr>
                        <w:t>.</w:t>
                      </w:r>
                      <w:proofErr w:type="gramEnd"/>
                    </w:p>
                    <w:p w:rsidR="002F5AC7" w:rsidRPr="00A30920" w:rsidRDefault="002F5AC7" w:rsidP="004510E6">
                      <w:pPr>
                        <w:jc w:val="center"/>
                      </w:pPr>
                    </w:p>
                  </w:txbxContent>
                </v:textbox>
                <w10:wrap type="tight" anchorx="margin"/>
              </v:shape>
            </w:pict>
          </mc:Fallback>
        </mc:AlternateContent>
      </w:r>
      <w:r w:rsidR="00A52D5F">
        <w:rPr>
          <w:sz w:val="24"/>
          <w:szCs w:val="23"/>
        </w:rPr>
        <w:t xml:space="preserve">Centennial Exposition </w:t>
      </w:r>
      <w:r w:rsidR="00A52D5F">
        <w:rPr>
          <w:sz w:val="24"/>
          <w:szCs w:val="23"/>
        </w:rPr>
        <w:lastRenderedPageBreak/>
        <w:t>which states, “</w:t>
      </w:r>
      <w:r w:rsidR="000D095F">
        <w:rPr>
          <w:sz w:val="24"/>
          <w:szCs w:val="23"/>
        </w:rPr>
        <w:t>[the bell] will not only be useful and</w:t>
      </w:r>
      <w:r w:rsidR="00FD5D0A">
        <w:rPr>
          <w:sz w:val="24"/>
          <w:szCs w:val="23"/>
        </w:rPr>
        <w:t xml:space="preserve"> </w:t>
      </w:r>
      <w:r w:rsidR="000D095F">
        <w:rPr>
          <w:sz w:val="24"/>
          <w:szCs w:val="23"/>
        </w:rPr>
        <w:t xml:space="preserve">ornamental, but will be a revelation to thousands of </w:t>
      </w:r>
      <w:r w:rsidR="00540D6A">
        <w:rPr>
          <w:sz w:val="24"/>
          <w:szCs w:val="23"/>
        </w:rPr>
        <w:t>Tennesseans, who have no idea such work is being done in this State.”</w:t>
      </w:r>
      <w:r w:rsidR="00540D6A">
        <w:rPr>
          <w:rStyle w:val="FootnoteReference"/>
          <w:sz w:val="24"/>
          <w:szCs w:val="23"/>
        </w:rPr>
        <w:footnoteReference w:id="38"/>
      </w:r>
      <w:proofErr w:type="gramEnd"/>
    </w:p>
    <w:p w:rsidR="00E5296D" w:rsidRDefault="00E5296D" w:rsidP="00F02987">
      <w:pPr>
        <w:tabs>
          <w:tab w:val="left" w:pos="720"/>
        </w:tabs>
        <w:spacing w:line="480" w:lineRule="auto"/>
        <w:contextualSpacing/>
        <w:rPr>
          <w:sz w:val="24"/>
          <w:szCs w:val="23"/>
        </w:rPr>
      </w:pPr>
    </w:p>
    <w:p w:rsidR="00192BD4" w:rsidRDefault="006876CF" w:rsidP="00192BD4">
      <w:pPr>
        <w:keepNext/>
        <w:tabs>
          <w:tab w:val="left" w:pos="720"/>
        </w:tabs>
        <w:spacing w:line="480" w:lineRule="auto"/>
        <w:contextualSpacing/>
      </w:pPr>
      <w:r>
        <w:rPr>
          <w:noProof/>
          <w:sz w:val="24"/>
          <w:szCs w:val="23"/>
        </w:rPr>
        <w:drawing>
          <wp:inline distT="0" distB="0" distL="0" distR="0" wp14:anchorId="130E3528" wp14:editId="2319EC44">
            <wp:extent cx="5805930" cy="4602988"/>
            <wp:effectExtent l="0" t="0" r="4445" b="7620"/>
            <wp:docPr id="8" name="Picture 8" descr="C:\Users\Luke\Desktop\Bell and no one knows Letter from Presi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ke\Desktop\Bell and no one knows Letter from President.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12827" cy="4608456"/>
                    </a:xfrm>
                    <a:prstGeom prst="rect">
                      <a:avLst/>
                    </a:prstGeom>
                    <a:noFill/>
                    <a:ln>
                      <a:noFill/>
                    </a:ln>
                    <a:effectLst>
                      <a:softEdge rad="63500"/>
                    </a:effectLst>
                  </pic:spPr>
                </pic:pic>
              </a:graphicData>
            </a:graphic>
          </wp:inline>
        </w:drawing>
      </w:r>
    </w:p>
    <w:p w:rsidR="001F76E3" w:rsidRPr="003408B0" w:rsidRDefault="00192BD4" w:rsidP="003408B0">
      <w:pPr>
        <w:pStyle w:val="Heading2"/>
        <w:jc w:val="center"/>
      </w:pPr>
      <w:bookmarkStart w:id="38" w:name="_Toc468630828"/>
      <w:bookmarkStart w:id="39" w:name="_Toc468648995"/>
      <w:r w:rsidRPr="003408B0">
        <w:t xml:space="preserve">Figure </w:t>
      </w:r>
      <w:r w:rsidR="00430F28" w:rsidRPr="003408B0">
        <w:t>2</w:t>
      </w:r>
      <w:r w:rsidR="008671D4" w:rsidRPr="003408B0">
        <w:noBreakHyphen/>
      </w:r>
      <w:r w:rsidR="008671D4" w:rsidRPr="003408B0">
        <w:fldChar w:fldCharType="begin"/>
      </w:r>
      <w:r w:rsidR="008671D4" w:rsidRPr="003408B0">
        <w:instrText xml:space="preserve"> SEQ Figure \* ARABIC \s 1 </w:instrText>
      </w:r>
      <w:r w:rsidR="008671D4" w:rsidRPr="003408B0">
        <w:fldChar w:fldCharType="separate"/>
      </w:r>
      <w:r w:rsidR="00FA56AB">
        <w:rPr>
          <w:noProof/>
        </w:rPr>
        <w:t>3</w:t>
      </w:r>
      <w:r w:rsidR="008671D4" w:rsidRPr="003408B0">
        <w:fldChar w:fldCharType="end"/>
      </w:r>
      <w:r w:rsidR="003408B0" w:rsidRPr="003408B0">
        <w:t>:</w:t>
      </w:r>
      <w:r w:rsidR="001F76E3" w:rsidRPr="003408B0">
        <w:t xml:space="preserve"> John Tho</w:t>
      </w:r>
      <w:r w:rsidR="0065293D" w:rsidRPr="003408B0">
        <w:t xml:space="preserve">mas to Ross-Meehan Foundry Co. – </w:t>
      </w:r>
      <w:r w:rsidR="001F76E3" w:rsidRPr="003408B0">
        <w:t>February 26, 1897</w:t>
      </w:r>
      <w:bookmarkEnd w:id="38"/>
      <w:bookmarkEnd w:id="39"/>
    </w:p>
    <w:p w:rsidR="00290CFF" w:rsidRPr="001F76E3" w:rsidRDefault="0015073D" w:rsidP="001F76E3">
      <w:pPr>
        <w:spacing w:line="240" w:lineRule="auto"/>
        <w:contextualSpacing/>
        <w:jc w:val="center"/>
        <w:rPr>
          <w:color w:val="548DD4" w:themeColor="text2" w:themeTint="99"/>
          <w:sz w:val="24"/>
          <w:szCs w:val="24"/>
        </w:rPr>
      </w:pPr>
      <w:proofErr w:type="gramStart"/>
      <w:r w:rsidRPr="0015073D">
        <w:rPr>
          <w:color w:val="548DD4" w:themeColor="text2" w:themeTint="99"/>
          <w:sz w:val="24"/>
          <w:szCs w:val="24"/>
        </w:rPr>
        <w:t>Courtesy of the Tennessee State Library and Archives.</w:t>
      </w:r>
      <w:proofErr w:type="gramEnd"/>
      <w:r w:rsidRPr="0015073D">
        <w:rPr>
          <w:color w:val="548DD4" w:themeColor="text2" w:themeTint="99"/>
          <w:sz w:val="24"/>
          <w:szCs w:val="24"/>
        </w:rPr>
        <w:t xml:space="preserve"> </w:t>
      </w:r>
      <w:r w:rsidR="00192BD4" w:rsidRPr="001F76E3">
        <w:rPr>
          <w:color w:val="548DD4" w:themeColor="text2" w:themeTint="99"/>
          <w:sz w:val="24"/>
          <w:szCs w:val="24"/>
        </w:rPr>
        <w:t xml:space="preserve">John W. Thomas. </w:t>
      </w:r>
      <w:r w:rsidR="00192BD4" w:rsidRPr="00C70685">
        <w:rPr>
          <w:i/>
          <w:color w:val="548DD4" w:themeColor="text2" w:themeTint="99"/>
          <w:sz w:val="24"/>
          <w:szCs w:val="24"/>
        </w:rPr>
        <w:t>John Thomas to Ross-Meehan Foundry Co., February 26, 1897</w:t>
      </w:r>
      <w:r w:rsidR="00192BD4" w:rsidRPr="001F76E3">
        <w:rPr>
          <w:color w:val="548DD4" w:themeColor="text2" w:themeTint="99"/>
          <w:sz w:val="24"/>
          <w:szCs w:val="24"/>
        </w:rPr>
        <w:t xml:space="preserve">. </w:t>
      </w:r>
      <w:proofErr w:type="gramStart"/>
      <w:r w:rsidR="00192BD4" w:rsidRPr="001F76E3">
        <w:rPr>
          <w:color w:val="548DD4" w:themeColor="text2" w:themeTint="99"/>
          <w:sz w:val="24"/>
          <w:szCs w:val="24"/>
        </w:rPr>
        <w:t>Letter.</w:t>
      </w:r>
      <w:proofErr w:type="gramEnd"/>
      <w:r w:rsidR="00192BD4" w:rsidRPr="001F76E3">
        <w:rPr>
          <w:color w:val="548DD4" w:themeColor="text2" w:themeTint="99"/>
          <w:sz w:val="24"/>
          <w:szCs w:val="24"/>
        </w:rPr>
        <w:t xml:space="preserve"> </w:t>
      </w:r>
      <w:proofErr w:type="gramStart"/>
      <w:r w:rsidR="00192BD4" w:rsidRPr="001F76E3">
        <w:rPr>
          <w:color w:val="548DD4" w:themeColor="text2" w:themeTint="99"/>
          <w:sz w:val="24"/>
          <w:szCs w:val="24"/>
        </w:rPr>
        <w:t>From Tennessee State Library and Archives,</w:t>
      </w:r>
      <w:r w:rsidR="001F76E3">
        <w:rPr>
          <w:color w:val="548DD4" w:themeColor="text2" w:themeTint="99"/>
          <w:sz w:val="24"/>
          <w:szCs w:val="24"/>
        </w:rPr>
        <w:t xml:space="preserve"> </w:t>
      </w:r>
      <w:r w:rsidR="001F76E3" w:rsidRPr="001F76E3">
        <w:rPr>
          <w:i/>
          <w:color w:val="548DD4" w:themeColor="text2" w:themeTint="99"/>
          <w:sz w:val="24"/>
          <w:szCs w:val="24"/>
        </w:rPr>
        <w:t>Tennessee Centennial and International Exposition (1897) Collection 1895-1900</w:t>
      </w:r>
      <w:r w:rsidR="001F76E3">
        <w:rPr>
          <w:color w:val="548DD4" w:themeColor="text2" w:themeTint="99"/>
          <w:sz w:val="24"/>
          <w:szCs w:val="24"/>
        </w:rPr>
        <w:t>.</w:t>
      </w:r>
      <w:proofErr w:type="gramEnd"/>
    </w:p>
    <w:p w:rsidR="001F76E3" w:rsidRDefault="001F76E3" w:rsidP="001F76E3">
      <w:pPr>
        <w:spacing w:line="240" w:lineRule="auto"/>
        <w:contextualSpacing/>
        <w:jc w:val="center"/>
        <w:rPr>
          <w:color w:val="548DD4" w:themeColor="text2" w:themeTint="99"/>
        </w:rPr>
      </w:pPr>
    </w:p>
    <w:p w:rsidR="001F76E3" w:rsidRPr="001F76E3" w:rsidRDefault="001F76E3" w:rsidP="003619DD">
      <w:pPr>
        <w:spacing w:line="240" w:lineRule="auto"/>
        <w:contextualSpacing/>
        <w:rPr>
          <w:color w:val="548DD4" w:themeColor="text2" w:themeTint="99"/>
          <w:sz w:val="24"/>
          <w:szCs w:val="23"/>
        </w:rPr>
      </w:pPr>
    </w:p>
    <w:p w:rsidR="007379FE" w:rsidRDefault="007379FE" w:rsidP="007379FE">
      <w:pPr>
        <w:tabs>
          <w:tab w:val="left" w:pos="720"/>
        </w:tabs>
        <w:spacing w:line="480" w:lineRule="auto"/>
        <w:contextualSpacing/>
        <w:rPr>
          <w:sz w:val="24"/>
          <w:szCs w:val="23"/>
        </w:rPr>
      </w:pPr>
      <w:r w:rsidRPr="000747D5">
        <w:rPr>
          <w:noProof/>
          <w:sz w:val="24"/>
          <w:szCs w:val="23"/>
        </w:rPr>
        <mc:AlternateContent>
          <mc:Choice Requires="wps">
            <w:drawing>
              <wp:anchor distT="0" distB="0" distL="114300" distR="114300" simplePos="0" relativeHeight="251680768" behindDoc="1" locked="0" layoutInCell="1" allowOverlap="1" wp14:anchorId="3489B10A" wp14:editId="21599949">
                <wp:simplePos x="0" y="0"/>
                <wp:positionH relativeFrom="column">
                  <wp:posOffset>66675</wp:posOffset>
                </wp:positionH>
                <wp:positionV relativeFrom="paragraph">
                  <wp:posOffset>6441440</wp:posOffset>
                </wp:positionV>
                <wp:extent cx="5064760" cy="1019175"/>
                <wp:effectExtent l="0" t="0" r="2540" b="9525"/>
                <wp:wrapTight wrapText="bothSides">
                  <wp:wrapPolygon edited="0">
                    <wp:start x="0" y="0"/>
                    <wp:lineTo x="0" y="21398"/>
                    <wp:lineTo x="21530" y="21398"/>
                    <wp:lineTo x="21530" y="0"/>
                    <wp:lineTo x="0" y="0"/>
                  </wp:wrapPolygon>
                </wp:wrapTight>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4760" cy="1019175"/>
                        </a:xfrm>
                        <a:prstGeom prst="rect">
                          <a:avLst/>
                        </a:prstGeom>
                        <a:solidFill>
                          <a:srgbClr val="FFFFFF"/>
                        </a:solidFill>
                        <a:ln w="9525">
                          <a:noFill/>
                          <a:miter lim="800000"/>
                          <a:headEnd/>
                          <a:tailEnd/>
                        </a:ln>
                      </wps:spPr>
                      <wps:txbx>
                        <w:txbxContent>
                          <w:p w:rsidR="002F5AC7" w:rsidRPr="003408B0" w:rsidRDefault="002F5AC7" w:rsidP="000747D5">
                            <w:pPr>
                              <w:pStyle w:val="Heading2"/>
                              <w:jc w:val="center"/>
                            </w:pPr>
                            <w:bookmarkStart w:id="40" w:name="_Toc468630829"/>
                            <w:bookmarkStart w:id="41" w:name="_Toc468648996"/>
                            <w:bookmarkStart w:id="42" w:name="_Toc468649024"/>
                            <w:r w:rsidRPr="003408B0">
                              <w:t>Figure 2</w:t>
                            </w:r>
                            <w:r w:rsidRPr="003408B0">
                              <w:noBreakHyphen/>
                            </w:r>
                            <w:r w:rsidRPr="003408B0">
                              <w:fldChar w:fldCharType="begin"/>
                            </w:r>
                            <w:r w:rsidRPr="003408B0">
                              <w:instrText xml:space="preserve"> SEQ Figure \* ARABIC \s 1 </w:instrText>
                            </w:r>
                            <w:r w:rsidRPr="003408B0">
                              <w:fldChar w:fldCharType="separate"/>
                            </w:r>
                            <w:r w:rsidR="00FA56AB">
                              <w:rPr>
                                <w:noProof/>
                              </w:rPr>
                              <w:t>4</w:t>
                            </w:r>
                            <w:r w:rsidRPr="003408B0">
                              <w:fldChar w:fldCharType="end"/>
                            </w:r>
                            <w:r w:rsidRPr="003408B0">
                              <w:t>: John Thomas to J. C. Hemphill, Esq. – May 26, 1900</w:t>
                            </w:r>
                            <w:bookmarkEnd w:id="40"/>
                            <w:bookmarkEnd w:id="41"/>
                            <w:bookmarkEnd w:id="42"/>
                          </w:p>
                          <w:p w:rsidR="002F5AC7" w:rsidRDefault="002F5AC7" w:rsidP="000747D5">
                            <w:pPr>
                              <w:spacing w:line="240" w:lineRule="auto"/>
                              <w:contextualSpacing/>
                              <w:jc w:val="center"/>
                              <w:rPr>
                                <w:color w:val="548DD4" w:themeColor="text2" w:themeTint="99"/>
                                <w:sz w:val="24"/>
                              </w:rPr>
                            </w:pPr>
                            <w:proofErr w:type="gramStart"/>
                            <w:r w:rsidRPr="00BC2A51">
                              <w:rPr>
                                <w:color w:val="548DD4" w:themeColor="text2" w:themeTint="99"/>
                                <w:sz w:val="24"/>
                              </w:rPr>
                              <w:t>Courtesy of the Tennessee State Library and Archives.</w:t>
                            </w:r>
                            <w:proofErr w:type="gramEnd"/>
                            <w:r w:rsidRPr="00BC2A51">
                              <w:rPr>
                                <w:color w:val="548DD4" w:themeColor="text2" w:themeTint="99"/>
                                <w:sz w:val="24"/>
                              </w:rPr>
                              <w:t xml:space="preserve"> John W. Thomas. John Thomas to J. C. Hemphill, Esq. May 26, 1900. </w:t>
                            </w:r>
                            <w:proofErr w:type="gramStart"/>
                            <w:r w:rsidRPr="00BC2A51">
                              <w:rPr>
                                <w:color w:val="548DD4" w:themeColor="text2" w:themeTint="99"/>
                                <w:sz w:val="24"/>
                              </w:rPr>
                              <w:t>Letter.</w:t>
                            </w:r>
                            <w:proofErr w:type="gramEnd"/>
                            <w:r w:rsidRPr="00BC2A51">
                              <w:rPr>
                                <w:color w:val="548DD4" w:themeColor="text2" w:themeTint="99"/>
                                <w:sz w:val="24"/>
                              </w:rPr>
                              <w:t xml:space="preserve"> </w:t>
                            </w:r>
                            <w:proofErr w:type="gramStart"/>
                            <w:r w:rsidRPr="00BC2A51">
                              <w:rPr>
                                <w:color w:val="548DD4" w:themeColor="text2" w:themeTint="99"/>
                                <w:sz w:val="24"/>
                              </w:rPr>
                              <w:t>From Tennessee State Library and Archives, Tennessee Centennial and International Exposition (1897) Collection 1895-1900.</w:t>
                            </w:r>
                            <w:proofErr w:type="gramEnd"/>
                          </w:p>
                          <w:p w:rsidR="002F5AC7" w:rsidRDefault="002F5A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5.25pt;margin-top:507.2pt;width:398.8pt;height:80.2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" stroked="f">
                <v:textbox>
                  <w:txbxContent>
                    <w:p w:rsidR="002F5AC7" w:rsidRPr="003408B0" w:rsidRDefault="002F5AC7" w:rsidP="000747D5">
                      <w:pPr>
                        <w:pStyle w:val="Heading2"/>
                        <w:jc w:val="center"/>
                      </w:pPr>
                      <w:bookmarkStart w:id="43" w:name="_Toc468630829"/>
                      <w:bookmarkStart w:id="44" w:name="_Toc468648996"/>
                      <w:bookmarkStart w:id="45" w:name="_Toc468649024"/>
                      <w:r w:rsidRPr="003408B0">
                        <w:t>Figure 2</w:t>
                      </w:r>
                      <w:r w:rsidRPr="003408B0">
                        <w:noBreakHyphen/>
                      </w:r>
                      <w:r w:rsidRPr="003408B0">
                        <w:fldChar w:fldCharType="begin"/>
                      </w:r>
                      <w:r w:rsidRPr="003408B0">
                        <w:instrText xml:space="preserve"> SEQ Figure \* ARABIC \s 1 </w:instrText>
                      </w:r>
                      <w:r w:rsidRPr="003408B0">
                        <w:fldChar w:fldCharType="separate"/>
                      </w:r>
                      <w:r w:rsidR="00FA56AB">
                        <w:rPr>
                          <w:noProof/>
                        </w:rPr>
                        <w:t>4</w:t>
                      </w:r>
                      <w:r w:rsidRPr="003408B0">
                        <w:fldChar w:fldCharType="end"/>
                      </w:r>
                      <w:r w:rsidRPr="003408B0">
                        <w:t>: John Thomas to J. C. Hemphill, Esq. – May 26, 1900</w:t>
                      </w:r>
                      <w:bookmarkEnd w:id="43"/>
                      <w:bookmarkEnd w:id="44"/>
                      <w:bookmarkEnd w:id="45"/>
                    </w:p>
                    <w:p w:rsidR="002F5AC7" w:rsidRDefault="002F5AC7" w:rsidP="000747D5">
                      <w:pPr>
                        <w:spacing w:line="240" w:lineRule="auto"/>
                        <w:contextualSpacing/>
                        <w:jc w:val="center"/>
                        <w:rPr>
                          <w:color w:val="548DD4" w:themeColor="text2" w:themeTint="99"/>
                          <w:sz w:val="24"/>
                        </w:rPr>
                      </w:pPr>
                      <w:proofErr w:type="gramStart"/>
                      <w:r w:rsidRPr="00BC2A51">
                        <w:rPr>
                          <w:color w:val="548DD4" w:themeColor="text2" w:themeTint="99"/>
                          <w:sz w:val="24"/>
                        </w:rPr>
                        <w:t>Courtesy of the Tennessee State Library and Archives.</w:t>
                      </w:r>
                      <w:proofErr w:type="gramEnd"/>
                      <w:r w:rsidRPr="00BC2A51">
                        <w:rPr>
                          <w:color w:val="548DD4" w:themeColor="text2" w:themeTint="99"/>
                          <w:sz w:val="24"/>
                        </w:rPr>
                        <w:t xml:space="preserve"> John W. Thomas. John Thomas to J. C. Hemphill, Esq. May 26, 1900. </w:t>
                      </w:r>
                      <w:proofErr w:type="gramStart"/>
                      <w:r w:rsidRPr="00BC2A51">
                        <w:rPr>
                          <w:color w:val="548DD4" w:themeColor="text2" w:themeTint="99"/>
                          <w:sz w:val="24"/>
                        </w:rPr>
                        <w:t>Letter.</w:t>
                      </w:r>
                      <w:proofErr w:type="gramEnd"/>
                      <w:r w:rsidRPr="00BC2A51">
                        <w:rPr>
                          <w:color w:val="548DD4" w:themeColor="text2" w:themeTint="99"/>
                          <w:sz w:val="24"/>
                        </w:rPr>
                        <w:t xml:space="preserve"> </w:t>
                      </w:r>
                      <w:proofErr w:type="gramStart"/>
                      <w:r w:rsidRPr="00BC2A51">
                        <w:rPr>
                          <w:color w:val="548DD4" w:themeColor="text2" w:themeTint="99"/>
                          <w:sz w:val="24"/>
                        </w:rPr>
                        <w:t>From Tennessee State Library and Archives, Tennessee Centennial and International Exposition (1897) Collection 1895-1900.</w:t>
                      </w:r>
                      <w:proofErr w:type="gramEnd"/>
                    </w:p>
                    <w:p w:rsidR="002F5AC7" w:rsidRDefault="002F5AC7"/>
                  </w:txbxContent>
                </v:textbox>
                <w10:wrap type="tight"/>
              </v:shape>
            </w:pict>
          </mc:Fallback>
        </mc:AlternateContent>
      </w:r>
      <w:r w:rsidR="004510E6">
        <w:rPr>
          <w:noProof/>
          <w:sz w:val="24"/>
        </w:rPr>
        <w:drawing>
          <wp:anchor distT="0" distB="0" distL="114300" distR="114300" simplePos="0" relativeHeight="251678720" behindDoc="1" locked="0" layoutInCell="1" allowOverlap="1" wp14:anchorId="055A5865" wp14:editId="75FDCA1E">
            <wp:simplePos x="0" y="0"/>
            <wp:positionH relativeFrom="column">
              <wp:posOffset>65405</wp:posOffset>
            </wp:positionH>
            <wp:positionV relativeFrom="paragraph">
              <wp:posOffset>1647825</wp:posOffset>
            </wp:positionV>
            <wp:extent cx="3810000" cy="4785995"/>
            <wp:effectExtent l="0" t="0" r="0" b="0"/>
            <wp:wrapTight wrapText="bothSides">
              <wp:wrapPolygon edited="0">
                <wp:start x="108" y="0"/>
                <wp:lineTo x="0" y="86"/>
                <wp:lineTo x="0" y="21322"/>
                <wp:lineTo x="108" y="21494"/>
                <wp:lineTo x="21384" y="21494"/>
                <wp:lineTo x="21492" y="21322"/>
                <wp:lineTo x="21492" y="86"/>
                <wp:lineTo x="21384" y="0"/>
                <wp:lineTo x="108" y="0"/>
              </wp:wrapPolygon>
            </wp:wrapTight>
            <wp:docPr id="1" name="Picture 1" descr="C:\Users\Luke\Desktop\Results of Exposition Letter from Tho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ke\Desktop\Results of Exposition Letter from Thomas.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0000" cy="4785995"/>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r w:rsidR="00870D5C">
        <w:rPr>
          <w:sz w:val="24"/>
          <w:szCs w:val="23"/>
        </w:rPr>
        <w:tab/>
        <w:t xml:space="preserve">Indeed, such an endeavor, however costly, did have </w:t>
      </w:r>
      <w:r w:rsidR="001A75E8">
        <w:rPr>
          <w:sz w:val="24"/>
          <w:szCs w:val="23"/>
        </w:rPr>
        <w:t xml:space="preserve">financial </w:t>
      </w:r>
      <w:r w:rsidR="00870D5C">
        <w:rPr>
          <w:sz w:val="24"/>
          <w:szCs w:val="23"/>
        </w:rPr>
        <w:t>a</w:t>
      </w:r>
      <w:r w:rsidR="001A75E8">
        <w:rPr>
          <w:sz w:val="24"/>
          <w:szCs w:val="23"/>
        </w:rPr>
        <w:t>ppeal for Nashville at the time. The nationwide depression after the “Panic of ’93</w:t>
      </w:r>
      <w:r w:rsidR="009C7A29">
        <w:rPr>
          <w:sz w:val="24"/>
          <w:szCs w:val="23"/>
        </w:rPr>
        <w:t>”</w:t>
      </w:r>
      <w:r w:rsidR="009C7A29">
        <w:rPr>
          <w:rStyle w:val="FootnoteReference"/>
          <w:sz w:val="24"/>
          <w:szCs w:val="23"/>
        </w:rPr>
        <w:footnoteReference w:id="39"/>
      </w:r>
      <w:r w:rsidR="001A75E8">
        <w:rPr>
          <w:sz w:val="24"/>
          <w:szCs w:val="23"/>
        </w:rPr>
        <w:t xml:space="preserve"> certainly aided Colonel Smith’s </w:t>
      </w:r>
      <w:r w:rsidR="00912875">
        <w:rPr>
          <w:sz w:val="24"/>
          <w:szCs w:val="23"/>
        </w:rPr>
        <w:t xml:space="preserve">1894 </w:t>
      </w:r>
      <w:r w:rsidR="001A75E8">
        <w:rPr>
          <w:sz w:val="24"/>
          <w:szCs w:val="23"/>
        </w:rPr>
        <w:t xml:space="preserve">plea </w:t>
      </w:r>
      <w:r w:rsidR="00912875">
        <w:rPr>
          <w:sz w:val="24"/>
          <w:szCs w:val="23"/>
        </w:rPr>
        <w:t xml:space="preserve">to the Commercial Club </w:t>
      </w:r>
      <w:r w:rsidR="001A75E8">
        <w:rPr>
          <w:sz w:val="24"/>
          <w:szCs w:val="23"/>
        </w:rPr>
        <w:t xml:space="preserve">for an exposition in Nashville for Tennessee. </w:t>
      </w:r>
      <w:r w:rsidR="002A3FF4">
        <w:rPr>
          <w:sz w:val="24"/>
          <w:szCs w:val="23"/>
        </w:rPr>
        <w:t xml:space="preserve">The economy was a driving factor behind the formation of the Centennial Exposition. As orator Tully Brown mentioned during the </w:t>
      </w:r>
      <w:proofErr w:type="gramStart"/>
      <w:r w:rsidR="002A3FF4">
        <w:rPr>
          <w:sz w:val="24"/>
          <w:szCs w:val="23"/>
        </w:rPr>
        <w:t>Exposition’s</w:t>
      </w:r>
      <w:proofErr w:type="gramEnd"/>
      <w:r w:rsidR="002A3FF4">
        <w:rPr>
          <w:sz w:val="24"/>
          <w:szCs w:val="23"/>
        </w:rPr>
        <w:t xml:space="preserve"> closing speech in 1897, “We had little money, we had great courage; times were hard as flint, banks were popping and cracking all over the Union; every day newspaper columns were but records of bank failures and </w:t>
      </w:r>
      <w:r w:rsidR="002A3FF4">
        <w:rPr>
          <w:sz w:val="24"/>
          <w:szCs w:val="23"/>
        </w:rPr>
        <w:lastRenderedPageBreak/>
        <w:t xml:space="preserve">business enterprises </w:t>
      </w:r>
      <w:r w:rsidR="00D31AF0">
        <w:rPr>
          <w:sz w:val="24"/>
          <w:szCs w:val="23"/>
        </w:rPr>
        <w:t>being thrown into the hands of receivers.”</w:t>
      </w:r>
      <w:r w:rsidR="00D31AF0">
        <w:rPr>
          <w:rStyle w:val="FootnoteReference"/>
          <w:sz w:val="24"/>
          <w:szCs w:val="23"/>
        </w:rPr>
        <w:footnoteReference w:id="40"/>
      </w:r>
      <w:r w:rsidR="006F25DA">
        <w:rPr>
          <w:sz w:val="24"/>
          <w:szCs w:val="23"/>
        </w:rPr>
        <w:t xml:space="preserve"> </w:t>
      </w:r>
    </w:p>
    <w:p w:rsidR="0062676A" w:rsidRPr="000747D5" w:rsidRDefault="007379FE" w:rsidP="007379FE">
      <w:pPr>
        <w:tabs>
          <w:tab w:val="left" w:pos="720"/>
        </w:tabs>
        <w:spacing w:line="480" w:lineRule="auto"/>
        <w:contextualSpacing/>
      </w:pPr>
      <w:r>
        <w:rPr>
          <w:sz w:val="24"/>
          <w:szCs w:val="23"/>
        </w:rPr>
        <w:tab/>
      </w:r>
      <w:r w:rsidR="00F3237E">
        <w:rPr>
          <w:sz w:val="24"/>
          <w:szCs w:val="23"/>
        </w:rPr>
        <w:t>President Thomas state</w:t>
      </w:r>
      <w:r w:rsidR="00A45748">
        <w:rPr>
          <w:sz w:val="24"/>
          <w:szCs w:val="23"/>
        </w:rPr>
        <w:t>d</w:t>
      </w:r>
      <w:r w:rsidR="00F3237E">
        <w:rPr>
          <w:sz w:val="24"/>
          <w:szCs w:val="23"/>
        </w:rPr>
        <w:t xml:space="preserve"> the alleged intentions of t</w:t>
      </w:r>
      <w:r w:rsidR="00C63A1A">
        <w:rPr>
          <w:sz w:val="24"/>
          <w:szCs w:val="23"/>
        </w:rPr>
        <w:t xml:space="preserve">he Exposition three years after </w:t>
      </w:r>
      <w:r w:rsidR="002A612F">
        <w:rPr>
          <w:sz w:val="24"/>
          <w:szCs w:val="23"/>
        </w:rPr>
        <w:t xml:space="preserve">in a letter </w:t>
      </w:r>
      <w:r w:rsidR="00ED2817">
        <w:rPr>
          <w:sz w:val="24"/>
          <w:szCs w:val="23"/>
        </w:rPr>
        <w:t xml:space="preserve">(See Figure 2-4) </w:t>
      </w:r>
      <w:r w:rsidR="00FF66E9">
        <w:rPr>
          <w:sz w:val="24"/>
          <w:szCs w:val="23"/>
        </w:rPr>
        <w:t xml:space="preserve">that </w:t>
      </w:r>
      <w:r w:rsidR="00C63A1A">
        <w:rPr>
          <w:sz w:val="24"/>
          <w:szCs w:val="23"/>
        </w:rPr>
        <w:t>described the railway’</w:t>
      </w:r>
      <w:r w:rsidR="003F252D">
        <w:rPr>
          <w:sz w:val="24"/>
          <w:szCs w:val="23"/>
        </w:rPr>
        <w:t xml:space="preserve">s financial outcomes. </w:t>
      </w:r>
      <w:proofErr w:type="gramStart"/>
      <w:r w:rsidR="003F252D">
        <w:rPr>
          <w:sz w:val="24"/>
          <w:szCs w:val="23"/>
        </w:rPr>
        <w:t>As he claim</w:t>
      </w:r>
      <w:r w:rsidR="00A45748">
        <w:rPr>
          <w:sz w:val="24"/>
          <w:szCs w:val="23"/>
        </w:rPr>
        <w:t>ed</w:t>
      </w:r>
      <w:r w:rsidR="003F252D">
        <w:rPr>
          <w:sz w:val="24"/>
          <w:szCs w:val="23"/>
        </w:rPr>
        <w:t>, “Our Centennial had for its object, the celebration of the One Hundredth Anniversary of the admission of the State of Tennessee into the Union, and was not conducted with the view of making money out of the enterprise, but to commemorate a great event in the history of our State.”</w:t>
      </w:r>
      <w:proofErr w:type="gramEnd"/>
      <w:r w:rsidR="003F252D">
        <w:rPr>
          <w:rStyle w:val="FootnoteReference"/>
          <w:sz w:val="24"/>
          <w:szCs w:val="23"/>
        </w:rPr>
        <w:footnoteReference w:id="41"/>
      </w:r>
      <w:r w:rsidR="003F252D">
        <w:rPr>
          <w:sz w:val="24"/>
          <w:szCs w:val="23"/>
        </w:rPr>
        <w:t xml:space="preserve"> </w:t>
      </w:r>
      <w:r w:rsidR="0062676A">
        <w:rPr>
          <w:sz w:val="24"/>
          <w:szCs w:val="23"/>
        </w:rPr>
        <w:t xml:space="preserve">In light of Colonel Smith’s most attractive argument in his proposal and the economic condition of the time, it would certainly seem that if the </w:t>
      </w:r>
      <w:proofErr w:type="gramStart"/>
      <w:r w:rsidR="0062676A">
        <w:rPr>
          <w:sz w:val="24"/>
          <w:szCs w:val="23"/>
        </w:rPr>
        <w:t>main focus</w:t>
      </w:r>
      <w:proofErr w:type="gramEnd"/>
      <w:r w:rsidR="0062676A">
        <w:rPr>
          <w:sz w:val="24"/>
          <w:szCs w:val="23"/>
        </w:rPr>
        <w:t xml:space="preserve"> for such a venture was not a Nashvillian capitalistic endeavor,</w:t>
      </w:r>
      <w:r w:rsidR="0062676A" w:rsidRPr="0062676A">
        <w:rPr>
          <w:sz w:val="24"/>
          <w:szCs w:val="23"/>
        </w:rPr>
        <w:t xml:space="preserve"> </w:t>
      </w:r>
      <w:r w:rsidR="0062676A">
        <w:rPr>
          <w:sz w:val="24"/>
          <w:szCs w:val="23"/>
        </w:rPr>
        <w:t>that the economic benefit was still a leading factor in the Exposition’s formation</w:t>
      </w:r>
      <w:r w:rsidR="002B0C9D">
        <w:rPr>
          <w:sz w:val="24"/>
          <w:szCs w:val="23"/>
        </w:rPr>
        <w:t>.</w:t>
      </w:r>
      <w:r w:rsidR="002B0C9D" w:rsidRPr="002B0C9D">
        <w:rPr>
          <w:sz w:val="24"/>
          <w:szCs w:val="23"/>
        </w:rPr>
        <w:t xml:space="preserve"> </w:t>
      </w:r>
      <w:r w:rsidR="002B0C9D">
        <w:rPr>
          <w:sz w:val="24"/>
          <w:szCs w:val="23"/>
        </w:rPr>
        <w:t>As President Thomas continues in his letter, “The result has been, an</w:t>
      </w:r>
      <w:r w:rsidR="00166CB8">
        <w:rPr>
          <w:sz w:val="24"/>
          <w:szCs w:val="23"/>
        </w:rPr>
        <w:t xml:space="preserve"> </w:t>
      </w:r>
      <w:r w:rsidR="002B0C9D">
        <w:rPr>
          <w:sz w:val="24"/>
          <w:szCs w:val="23"/>
        </w:rPr>
        <w:t xml:space="preserve">increase in the population of the City of Nashville, an increase in its general business, </w:t>
      </w:r>
      <w:r w:rsidR="003619DD">
        <w:rPr>
          <w:sz w:val="24"/>
          <w:szCs w:val="23"/>
        </w:rPr>
        <w:t xml:space="preserve">and a number of immigrants have </w:t>
      </w:r>
      <w:r w:rsidR="004B3CFD">
        <w:rPr>
          <w:sz w:val="24"/>
          <w:szCs w:val="23"/>
        </w:rPr>
        <w:t xml:space="preserve">settled in </w:t>
      </w:r>
      <w:r w:rsidR="00251190">
        <w:rPr>
          <w:sz w:val="24"/>
          <w:szCs w:val="23"/>
        </w:rPr>
        <w:t>our State on account of the Exhibit of the resources of the State shown at the</w:t>
      </w:r>
      <w:r w:rsidR="0062676A">
        <w:rPr>
          <w:sz w:val="24"/>
          <w:szCs w:val="23"/>
        </w:rPr>
        <w:t xml:space="preserve"> </w:t>
      </w:r>
      <w:r w:rsidR="002B0C9D">
        <w:rPr>
          <w:sz w:val="24"/>
          <w:szCs w:val="23"/>
        </w:rPr>
        <w:t>Exposition.”</w:t>
      </w:r>
      <w:r w:rsidR="002B0C9D">
        <w:rPr>
          <w:rStyle w:val="FootnoteReference"/>
          <w:sz w:val="24"/>
          <w:szCs w:val="23"/>
        </w:rPr>
        <w:footnoteReference w:id="42"/>
      </w:r>
      <w:r w:rsidR="002B0C9D">
        <w:rPr>
          <w:sz w:val="24"/>
        </w:rPr>
        <w:t xml:space="preserve"> </w:t>
      </w:r>
      <w:r w:rsidR="00F62F88">
        <w:rPr>
          <w:sz w:val="24"/>
        </w:rPr>
        <w:t xml:space="preserve">Given the social, political, and economic fabric of the time, </w:t>
      </w:r>
      <w:r w:rsidR="00172250">
        <w:rPr>
          <w:sz w:val="24"/>
        </w:rPr>
        <w:t>both the expressed purpose and the</w:t>
      </w:r>
      <w:r w:rsidR="00F62F88">
        <w:rPr>
          <w:sz w:val="24"/>
        </w:rPr>
        <w:t xml:space="preserve"> subliminal </w:t>
      </w:r>
      <w:r w:rsidR="00172250">
        <w:rPr>
          <w:sz w:val="24"/>
        </w:rPr>
        <w:t>purposes</w:t>
      </w:r>
      <w:r w:rsidR="00F62F88">
        <w:rPr>
          <w:sz w:val="24"/>
        </w:rPr>
        <w:t xml:space="preserve"> all benefit</w:t>
      </w:r>
      <w:r w:rsidR="00172250">
        <w:rPr>
          <w:sz w:val="24"/>
        </w:rPr>
        <w:t>ed</w:t>
      </w:r>
      <w:r w:rsidR="00F62F88">
        <w:rPr>
          <w:sz w:val="24"/>
        </w:rPr>
        <w:t xml:space="preserve"> Nashville by promoting the area,</w:t>
      </w:r>
      <w:r w:rsidR="00FA1E9C">
        <w:rPr>
          <w:sz w:val="24"/>
        </w:rPr>
        <w:t xml:space="preserve"> rejuvenating the economy, and showing the world that Tennessee, previously a Confederate state, was thrilled to be a participant of the Union for one hundred years. </w:t>
      </w:r>
    </w:p>
    <w:p w:rsidR="00074CB3" w:rsidRDefault="00074CB3" w:rsidP="00074CB3">
      <w:pPr>
        <w:keepNext/>
        <w:tabs>
          <w:tab w:val="left" w:pos="720"/>
        </w:tabs>
        <w:spacing w:line="480" w:lineRule="auto"/>
        <w:contextualSpacing/>
        <w:rPr>
          <w:sz w:val="24"/>
        </w:rPr>
      </w:pPr>
      <w:r>
        <w:rPr>
          <w:sz w:val="24"/>
        </w:rPr>
        <w:lastRenderedPageBreak/>
        <w:tab/>
      </w:r>
      <w:r w:rsidR="004D3791">
        <w:rPr>
          <w:sz w:val="24"/>
        </w:rPr>
        <w:t>No doubt, the enterprise and its marketing was a result of investment, networking, and pro</w:t>
      </w:r>
      <w:r w:rsidR="00FB56CD">
        <w:rPr>
          <w:sz w:val="24"/>
        </w:rPr>
        <w:t>mises.</w:t>
      </w:r>
      <w:r w:rsidR="004D3791">
        <w:rPr>
          <w:sz w:val="24"/>
        </w:rPr>
        <w:t xml:space="preserve"> </w:t>
      </w:r>
      <w:proofErr w:type="gramStart"/>
      <w:r w:rsidR="004D3791">
        <w:rPr>
          <w:sz w:val="24"/>
        </w:rPr>
        <w:t xml:space="preserve">President Thomas himself </w:t>
      </w:r>
      <w:r w:rsidR="00FB56CD">
        <w:rPr>
          <w:sz w:val="24"/>
        </w:rPr>
        <w:t>proposed</w:t>
      </w:r>
      <w:r w:rsidR="004D3791">
        <w:rPr>
          <w:sz w:val="24"/>
        </w:rPr>
        <w:t xml:space="preserve"> </w:t>
      </w:r>
      <w:r w:rsidR="00FB56CD">
        <w:rPr>
          <w:sz w:val="24"/>
        </w:rPr>
        <w:t xml:space="preserve">an investment </w:t>
      </w:r>
      <w:r w:rsidR="004D3791">
        <w:rPr>
          <w:sz w:val="24"/>
        </w:rPr>
        <w:t xml:space="preserve">in </w:t>
      </w:r>
      <w:r w:rsidR="00FB56CD">
        <w:rPr>
          <w:sz w:val="24"/>
        </w:rPr>
        <w:t>another letter</w:t>
      </w:r>
      <w:r w:rsidR="00FB56CD" w:rsidRPr="00FB56CD">
        <w:rPr>
          <w:sz w:val="24"/>
        </w:rPr>
        <w:t xml:space="preserve"> </w:t>
      </w:r>
      <w:r w:rsidR="00ED2817">
        <w:rPr>
          <w:sz w:val="24"/>
        </w:rPr>
        <w:t xml:space="preserve">(See Figure 2-5) </w:t>
      </w:r>
      <w:r w:rsidR="00FB56CD">
        <w:rPr>
          <w:sz w:val="24"/>
        </w:rPr>
        <w:t xml:space="preserve">addressed to Edgar </w:t>
      </w:r>
      <w:r w:rsidR="006B3BBF">
        <w:rPr>
          <w:sz w:val="24"/>
        </w:rPr>
        <w:t>F</w:t>
      </w:r>
      <w:r w:rsidR="00FB56CD">
        <w:rPr>
          <w:sz w:val="24"/>
        </w:rPr>
        <w:t>elton the President of the Pennsylvania Steel Company</w:t>
      </w:r>
      <w:r w:rsidR="005D1B89">
        <w:rPr>
          <w:sz w:val="24"/>
        </w:rPr>
        <w:t xml:space="preserve"> under the grounds that “this Exposition will doubtless increase the Railway mileage of the State, and largely increase the business of existing roads, especially our line, which will enable us to place more liberal orders for steel rail.”</w:t>
      </w:r>
      <w:r w:rsidR="005D1B89">
        <w:rPr>
          <w:rStyle w:val="FootnoteReference"/>
          <w:sz w:val="24"/>
        </w:rPr>
        <w:footnoteReference w:id="43"/>
      </w:r>
      <w:proofErr w:type="gramEnd"/>
      <w:r w:rsidR="005D1B89">
        <w:rPr>
          <w:sz w:val="24"/>
        </w:rPr>
        <w:t xml:space="preserve"> </w:t>
      </w:r>
      <w:proofErr w:type="gramStart"/>
      <w:r w:rsidR="002B0C9D">
        <w:rPr>
          <w:sz w:val="24"/>
        </w:rPr>
        <w:t xml:space="preserve">Yet another letter </w:t>
      </w:r>
      <w:r w:rsidR="00ED2817">
        <w:rPr>
          <w:sz w:val="24"/>
        </w:rPr>
        <w:t xml:space="preserve">(See Figure 2-6) </w:t>
      </w:r>
      <w:r w:rsidR="002B0C9D">
        <w:rPr>
          <w:sz w:val="24"/>
        </w:rPr>
        <w:t>from President Thomas might recall the alleged purposes of the Centennial Exposition addressed to the South Carolina Exposition’s secretary  Colonel John Averill three years after the Centennial Exposition’s close: “Our Exposition was a patriotic one; and in making the donations, we did not expect any return, and consider ourselves fortunate that it paid cost of construction and operating expenses in full. . . .</w:t>
      </w:r>
      <w:proofErr w:type="gramEnd"/>
      <w:r w:rsidR="002B0C9D">
        <w:rPr>
          <w:sz w:val="24"/>
        </w:rPr>
        <w:t xml:space="preserve"> </w:t>
      </w:r>
      <w:proofErr w:type="gramStart"/>
      <w:r w:rsidR="002B0C9D">
        <w:rPr>
          <w:sz w:val="24"/>
        </w:rPr>
        <w:t>no</w:t>
      </w:r>
      <w:proofErr w:type="gramEnd"/>
      <w:r w:rsidR="002B0C9D">
        <w:rPr>
          <w:sz w:val="24"/>
        </w:rPr>
        <w:t xml:space="preserve"> less than one thousand families have settled on the line of our road, many of whom </w:t>
      </w:r>
      <w:r w:rsidR="0032526E">
        <w:rPr>
          <w:sz w:val="24"/>
        </w:rPr>
        <w:t>w</w:t>
      </w:r>
      <w:r w:rsidR="002B0C9D">
        <w:rPr>
          <w:sz w:val="24"/>
        </w:rPr>
        <w:t>ere impressed with the desirability of having homes in Tennessee by what they saw at the Exposition.”</w:t>
      </w:r>
      <w:r w:rsidR="002B0C9D">
        <w:rPr>
          <w:rStyle w:val="FootnoteReference"/>
          <w:sz w:val="24"/>
        </w:rPr>
        <w:footnoteReference w:id="44"/>
      </w:r>
      <w:r w:rsidR="002B0C9D">
        <w:rPr>
          <w:sz w:val="24"/>
        </w:rPr>
        <w:t xml:space="preserve"> </w:t>
      </w:r>
      <w:r w:rsidR="00305F2A">
        <w:rPr>
          <w:sz w:val="24"/>
        </w:rPr>
        <w:t>It is hardly dubious</w:t>
      </w:r>
      <w:r w:rsidR="002B0C9D">
        <w:rPr>
          <w:sz w:val="24"/>
        </w:rPr>
        <w:t xml:space="preserve"> that the growth of personal business and Nashville as a city had little or nothing to do with the purposes of the Centennial Exposition. Due to these connections from the new President of the Centennial Exposition Company, the cultural exhibit was delayed a year from the centennial anniversary, but was well underway this time.</w:t>
      </w:r>
    </w:p>
    <w:p w:rsidR="00074CB3" w:rsidRDefault="002B0C9D" w:rsidP="00074CB3">
      <w:pPr>
        <w:keepNext/>
        <w:tabs>
          <w:tab w:val="left" w:pos="720"/>
        </w:tabs>
        <w:spacing w:line="480" w:lineRule="auto"/>
        <w:contextualSpacing/>
        <w:jc w:val="center"/>
      </w:pPr>
      <w:r>
        <w:rPr>
          <w:noProof/>
          <w:sz w:val="24"/>
        </w:rPr>
        <w:lastRenderedPageBreak/>
        <w:drawing>
          <wp:inline distT="0" distB="0" distL="0" distR="0" wp14:anchorId="243FE047" wp14:editId="418BD58A">
            <wp:extent cx="5200105" cy="6781800"/>
            <wp:effectExtent l="0" t="0" r="635" b="0"/>
            <wp:docPr id="9" name="Picture 9" descr="C:\Users\Luke\Desktop\Felton Investment Le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ke\Desktop\Felton Investment Letter.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7572" cy="6804579"/>
                    </a:xfrm>
                    <a:prstGeom prst="rect">
                      <a:avLst/>
                    </a:prstGeom>
                    <a:noFill/>
                    <a:ln>
                      <a:noFill/>
                    </a:ln>
                    <a:effectLst>
                      <a:softEdge rad="63500"/>
                    </a:effectLst>
                  </pic:spPr>
                </pic:pic>
              </a:graphicData>
            </a:graphic>
          </wp:inline>
        </w:drawing>
      </w:r>
    </w:p>
    <w:p w:rsidR="00074CB3" w:rsidRPr="003408B0" w:rsidRDefault="00074CB3" w:rsidP="003408B0">
      <w:pPr>
        <w:pStyle w:val="Heading2"/>
        <w:jc w:val="center"/>
      </w:pPr>
      <w:bookmarkStart w:id="46" w:name="_Toc468630830"/>
      <w:bookmarkStart w:id="47" w:name="_Toc468648997"/>
      <w:r w:rsidRPr="003408B0">
        <w:t>Figure 2</w:t>
      </w:r>
      <w:r w:rsidR="008671D4" w:rsidRPr="003408B0">
        <w:noBreakHyphen/>
      </w:r>
      <w:r w:rsidR="008671D4" w:rsidRPr="003408B0">
        <w:fldChar w:fldCharType="begin"/>
      </w:r>
      <w:r w:rsidR="008671D4" w:rsidRPr="003408B0">
        <w:instrText xml:space="preserve"> SEQ Figure \* ARABIC \s 1 </w:instrText>
      </w:r>
      <w:r w:rsidR="008671D4" w:rsidRPr="003408B0">
        <w:fldChar w:fldCharType="separate"/>
      </w:r>
      <w:r w:rsidR="00FA56AB">
        <w:rPr>
          <w:noProof/>
        </w:rPr>
        <w:t>5</w:t>
      </w:r>
      <w:r w:rsidR="008671D4" w:rsidRPr="003408B0">
        <w:fldChar w:fldCharType="end"/>
      </w:r>
      <w:r w:rsidR="003408B0" w:rsidRPr="003408B0">
        <w:t>:</w:t>
      </w:r>
      <w:r w:rsidRPr="003408B0">
        <w:t xml:space="preserve"> John Thomas to Edgar C. Felton, Esq. </w:t>
      </w:r>
      <w:r w:rsidR="00842FC3" w:rsidRPr="003408B0">
        <w:t xml:space="preserve">– </w:t>
      </w:r>
      <w:r w:rsidRPr="003408B0">
        <w:t>Dec</w:t>
      </w:r>
      <w:r w:rsidR="00842FC3" w:rsidRPr="003408B0">
        <w:t>ember</w:t>
      </w:r>
      <w:r w:rsidRPr="003408B0">
        <w:t xml:space="preserve"> 26, 1896</w:t>
      </w:r>
      <w:bookmarkEnd w:id="46"/>
      <w:bookmarkEnd w:id="47"/>
    </w:p>
    <w:p w:rsidR="00A64BDE" w:rsidRPr="00074CB3" w:rsidRDefault="0015073D" w:rsidP="00074CB3">
      <w:pPr>
        <w:spacing w:line="240" w:lineRule="auto"/>
        <w:contextualSpacing/>
        <w:jc w:val="center"/>
        <w:rPr>
          <w:color w:val="548DD4" w:themeColor="text2" w:themeTint="99"/>
          <w:sz w:val="24"/>
        </w:rPr>
      </w:pPr>
      <w:proofErr w:type="gramStart"/>
      <w:r w:rsidRPr="0015073D">
        <w:rPr>
          <w:color w:val="548DD4" w:themeColor="text2" w:themeTint="99"/>
          <w:sz w:val="24"/>
        </w:rPr>
        <w:t>Courtesy of the Tennessee State Library and Archives.</w:t>
      </w:r>
      <w:proofErr w:type="gramEnd"/>
      <w:r w:rsidRPr="0015073D">
        <w:rPr>
          <w:color w:val="548DD4" w:themeColor="text2" w:themeTint="99"/>
          <w:sz w:val="24"/>
        </w:rPr>
        <w:t xml:space="preserve"> </w:t>
      </w:r>
      <w:r w:rsidR="00074CB3" w:rsidRPr="00074CB3">
        <w:rPr>
          <w:color w:val="548DD4" w:themeColor="text2" w:themeTint="99"/>
          <w:sz w:val="24"/>
        </w:rPr>
        <w:t xml:space="preserve">John W. Thomas. </w:t>
      </w:r>
      <w:r w:rsidR="00074CB3" w:rsidRPr="00546D23">
        <w:rPr>
          <w:i/>
          <w:color w:val="548DD4" w:themeColor="text2" w:themeTint="99"/>
          <w:sz w:val="24"/>
        </w:rPr>
        <w:t>John Thomas to Edgar C. Felton, Esq. Dec. 26, 1896</w:t>
      </w:r>
      <w:r w:rsidR="00074CB3" w:rsidRPr="00074CB3">
        <w:rPr>
          <w:color w:val="548DD4" w:themeColor="text2" w:themeTint="99"/>
          <w:sz w:val="24"/>
        </w:rPr>
        <w:t xml:space="preserve">. </w:t>
      </w:r>
      <w:proofErr w:type="gramStart"/>
      <w:r w:rsidR="00074CB3" w:rsidRPr="00074CB3">
        <w:rPr>
          <w:color w:val="548DD4" w:themeColor="text2" w:themeTint="99"/>
          <w:sz w:val="24"/>
        </w:rPr>
        <w:t>Letter.</w:t>
      </w:r>
      <w:proofErr w:type="gramEnd"/>
      <w:r w:rsidR="00074CB3" w:rsidRPr="00074CB3">
        <w:rPr>
          <w:color w:val="548DD4" w:themeColor="text2" w:themeTint="99"/>
          <w:sz w:val="24"/>
        </w:rPr>
        <w:t xml:space="preserve"> </w:t>
      </w:r>
      <w:proofErr w:type="gramStart"/>
      <w:r w:rsidR="00074CB3" w:rsidRPr="00074CB3">
        <w:rPr>
          <w:color w:val="548DD4" w:themeColor="text2" w:themeTint="99"/>
          <w:sz w:val="24"/>
        </w:rPr>
        <w:t xml:space="preserve">From Tennessee State Library and Archives, </w:t>
      </w:r>
      <w:r w:rsidR="00074CB3" w:rsidRPr="00546D23">
        <w:rPr>
          <w:i/>
          <w:color w:val="548DD4" w:themeColor="text2" w:themeTint="99"/>
          <w:sz w:val="24"/>
        </w:rPr>
        <w:t>Tennessee Centennial and International Exposition (1897) Collection 1895-1900</w:t>
      </w:r>
      <w:r w:rsidR="00074CB3" w:rsidRPr="00074CB3">
        <w:rPr>
          <w:color w:val="548DD4" w:themeColor="text2" w:themeTint="99"/>
          <w:sz w:val="24"/>
        </w:rPr>
        <w:t>.</w:t>
      </w:r>
      <w:proofErr w:type="gramEnd"/>
    </w:p>
    <w:p w:rsidR="00074CB3" w:rsidRDefault="002B0C9D" w:rsidP="00074CB3">
      <w:pPr>
        <w:keepNext/>
        <w:tabs>
          <w:tab w:val="left" w:pos="720"/>
        </w:tabs>
        <w:spacing w:line="480" w:lineRule="auto"/>
        <w:contextualSpacing/>
        <w:jc w:val="center"/>
      </w:pPr>
      <w:r>
        <w:rPr>
          <w:noProof/>
          <w:sz w:val="24"/>
        </w:rPr>
        <w:lastRenderedPageBreak/>
        <w:drawing>
          <wp:inline distT="0" distB="0" distL="0" distR="0" wp14:anchorId="2C8BEF7E" wp14:editId="0F6F7EE1">
            <wp:extent cx="5257800" cy="6834063"/>
            <wp:effectExtent l="0" t="0" r="0" b="5080"/>
            <wp:docPr id="10" name="Picture 10" descr="C:\Users\Luke\Desktop\Averill Letter from Presi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uke\Desktop\Averill Letter from President.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67431" cy="6846582"/>
                    </a:xfrm>
                    <a:prstGeom prst="rect">
                      <a:avLst/>
                    </a:prstGeom>
                    <a:noFill/>
                    <a:ln>
                      <a:noFill/>
                    </a:ln>
                  </pic:spPr>
                </pic:pic>
              </a:graphicData>
            </a:graphic>
          </wp:inline>
        </w:drawing>
      </w:r>
    </w:p>
    <w:p w:rsidR="00074CB3" w:rsidRPr="003408B0" w:rsidRDefault="00ED2817" w:rsidP="003408B0">
      <w:pPr>
        <w:pStyle w:val="Heading2"/>
        <w:jc w:val="center"/>
      </w:pPr>
      <w:bookmarkStart w:id="48" w:name="_Toc468630831"/>
      <w:bookmarkStart w:id="49" w:name="_Toc468648998"/>
      <w:r w:rsidRPr="003408B0">
        <w:t>Figure 2</w:t>
      </w:r>
      <w:r w:rsidR="008671D4" w:rsidRPr="003408B0">
        <w:noBreakHyphen/>
      </w:r>
      <w:r w:rsidR="008671D4" w:rsidRPr="003408B0">
        <w:fldChar w:fldCharType="begin"/>
      </w:r>
      <w:r w:rsidR="008671D4" w:rsidRPr="003408B0">
        <w:instrText xml:space="preserve"> SEQ Figure \* ARABIC \s 1 </w:instrText>
      </w:r>
      <w:r w:rsidR="008671D4" w:rsidRPr="003408B0">
        <w:fldChar w:fldCharType="separate"/>
      </w:r>
      <w:r w:rsidR="00FA56AB">
        <w:rPr>
          <w:noProof/>
        </w:rPr>
        <w:t>6</w:t>
      </w:r>
      <w:r w:rsidR="008671D4" w:rsidRPr="003408B0">
        <w:fldChar w:fldCharType="end"/>
      </w:r>
      <w:r w:rsidR="003408B0" w:rsidRPr="003408B0">
        <w:t xml:space="preserve">: </w:t>
      </w:r>
      <w:r w:rsidR="00074CB3" w:rsidRPr="003408B0">
        <w:t>John Th</w:t>
      </w:r>
      <w:r w:rsidR="00842FC3" w:rsidRPr="003408B0">
        <w:t xml:space="preserve">omas to Colonel John H. Averill – </w:t>
      </w:r>
      <w:r w:rsidR="00074CB3" w:rsidRPr="003408B0">
        <w:t>March 13</w:t>
      </w:r>
      <w:r w:rsidR="00842FC3" w:rsidRPr="003408B0">
        <w:t>,</w:t>
      </w:r>
      <w:r w:rsidR="00074CB3" w:rsidRPr="003408B0">
        <w:t xml:space="preserve"> 1900</w:t>
      </w:r>
      <w:bookmarkEnd w:id="48"/>
      <w:bookmarkEnd w:id="49"/>
    </w:p>
    <w:p w:rsidR="00A554DF" w:rsidRPr="00074CB3" w:rsidRDefault="0015073D" w:rsidP="00074CB3">
      <w:pPr>
        <w:pStyle w:val="Caption"/>
        <w:jc w:val="center"/>
        <w:rPr>
          <w:b w:val="0"/>
          <w:sz w:val="36"/>
        </w:rPr>
      </w:pPr>
      <w:proofErr w:type="gramStart"/>
      <w:r>
        <w:rPr>
          <w:b w:val="0"/>
          <w:sz w:val="24"/>
        </w:rPr>
        <w:t xml:space="preserve">Courtesy of the </w:t>
      </w:r>
      <w:r w:rsidRPr="00074CB3">
        <w:rPr>
          <w:b w:val="0"/>
          <w:sz w:val="24"/>
        </w:rPr>
        <w:t>Tennessee State Library and Archives</w:t>
      </w:r>
      <w:r>
        <w:rPr>
          <w:b w:val="0"/>
          <w:sz w:val="24"/>
        </w:rPr>
        <w:t>.</w:t>
      </w:r>
      <w:proofErr w:type="gramEnd"/>
      <w:r>
        <w:rPr>
          <w:b w:val="0"/>
          <w:sz w:val="24"/>
        </w:rPr>
        <w:t xml:space="preserve"> </w:t>
      </w:r>
      <w:r w:rsidR="00074CB3" w:rsidRPr="00074CB3">
        <w:rPr>
          <w:b w:val="0"/>
          <w:sz w:val="24"/>
        </w:rPr>
        <w:t xml:space="preserve">John W. Thomas. </w:t>
      </w:r>
      <w:proofErr w:type="gramStart"/>
      <w:r w:rsidR="00074CB3" w:rsidRPr="00C5024C">
        <w:rPr>
          <w:b w:val="0"/>
          <w:i/>
          <w:sz w:val="24"/>
        </w:rPr>
        <w:t>John Thomas to Colonel John H. Averill</w:t>
      </w:r>
      <w:r w:rsidR="00074CB3" w:rsidRPr="00074CB3">
        <w:rPr>
          <w:b w:val="0"/>
          <w:sz w:val="24"/>
        </w:rPr>
        <w:t>.</w:t>
      </w:r>
      <w:proofErr w:type="gramEnd"/>
      <w:r w:rsidR="00074CB3" w:rsidRPr="00074CB3">
        <w:rPr>
          <w:b w:val="0"/>
          <w:sz w:val="24"/>
        </w:rPr>
        <w:t xml:space="preserve"> March 13 1900. </w:t>
      </w:r>
      <w:proofErr w:type="gramStart"/>
      <w:r w:rsidR="00074CB3" w:rsidRPr="00074CB3">
        <w:rPr>
          <w:b w:val="0"/>
          <w:sz w:val="24"/>
        </w:rPr>
        <w:t>Letter.</w:t>
      </w:r>
      <w:proofErr w:type="gramEnd"/>
      <w:r w:rsidR="00074CB3" w:rsidRPr="00074CB3">
        <w:rPr>
          <w:b w:val="0"/>
          <w:sz w:val="24"/>
        </w:rPr>
        <w:t xml:space="preserve"> </w:t>
      </w:r>
      <w:proofErr w:type="gramStart"/>
      <w:r w:rsidR="00074CB3" w:rsidRPr="00074CB3">
        <w:rPr>
          <w:b w:val="0"/>
          <w:sz w:val="24"/>
        </w:rPr>
        <w:t xml:space="preserve">From Tennessee State Library and Archives, </w:t>
      </w:r>
      <w:r w:rsidR="00074CB3" w:rsidRPr="00C5024C">
        <w:rPr>
          <w:b w:val="0"/>
          <w:i/>
          <w:sz w:val="24"/>
        </w:rPr>
        <w:t>Tennessee Centennial and International Exposition (1897) Collection 1895-1900</w:t>
      </w:r>
      <w:r w:rsidR="00074CB3" w:rsidRPr="00074CB3">
        <w:rPr>
          <w:b w:val="0"/>
          <w:sz w:val="24"/>
        </w:rPr>
        <w:t>.</w:t>
      </w:r>
      <w:proofErr w:type="gramEnd"/>
    </w:p>
    <w:p w:rsidR="002209DE" w:rsidRDefault="00EE4B59" w:rsidP="006A2213">
      <w:pPr>
        <w:spacing w:line="480" w:lineRule="auto"/>
        <w:contextualSpacing/>
        <w:rPr>
          <w:sz w:val="24"/>
        </w:rPr>
      </w:pPr>
      <w:r>
        <w:rPr>
          <w:sz w:val="24"/>
        </w:rPr>
        <w:lastRenderedPageBreak/>
        <w:tab/>
        <w:t xml:space="preserve">It was now time to select a location. Hugh L. Craighead, W. L. Dudley, G. H. </w:t>
      </w:r>
      <w:proofErr w:type="spellStart"/>
      <w:r>
        <w:rPr>
          <w:sz w:val="24"/>
        </w:rPr>
        <w:t>Baskette</w:t>
      </w:r>
      <w:proofErr w:type="spellEnd"/>
      <w:r>
        <w:rPr>
          <w:sz w:val="24"/>
        </w:rPr>
        <w:t>, John C. Burch, and W. B. Earthman, all important figures in Nashville’s history</w:t>
      </w:r>
      <w:r w:rsidR="009D400E">
        <w:rPr>
          <w:sz w:val="24"/>
        </w:rPr>
        <w:t xml:space="preserve">, were all members of the newly appointed committee who came together to vote on the grounds for the Exposition now that </w:t>
      </w:r>
      <w:r w:rsidR="005B7C03">
        <w:rPr>
          <w:sz w:val="24"/>
        </w:rPr>
        <w:t>investments</w:t>
      </w:r>
      <w:r w:rsidR="009D400E">
        <w:rPr>
          <w:sz w:val="24"/>
        </w:rPr>
        <w:t xml:space="preserve"> were </w:t>
      </w:r>
      <w:r w:rsidR="007B78D2">
        <w:rPr>
          <w:sz w:val="24"/>
        </w:rPr>
        <w:t xml:space="preserve">gradually </w:t>
      </w:r>
      <w:r w:rsidR="005B7C03">
        <w:rPr>
          <w:sz w:val="24"/>
        </w:rPr>
        <w:t>increasing</w:t>
      </w:r>
      <w:r w:rsidR="00AB33E8">
        <w:rPr>
          <w:sz w:val="24"/>
        </w:rPr>
        <w:t>,</w:t>
      </w:r>
      <w:r w:rsidR="009D400E">
        <w:rPr>
          <w:sz w:val="24"/>
        </w:rPr>
        <w:t xml:space="preserve"> and the </w:t>
      </w:r>
      <w:r w:rsidR="005B7C03">
        <w:rPr>
          <w:sz w:val="24"/>
        </w:rPr>
        <w:t>Nashville locals</w:t>
      </w:r>
      <w:r w:rsidR="009D400E">
        <w:rPr>
          <w:sz w:val="24"/>
        </w:rPr>
        <w:t xml:space="preserve"> had voted on whether </w:t>
      </w:r>
      <w:r w:rsidR="005B7C03">
        <w:rPr>
          <w:sz w:val="24"/>
        </w:rPr>
        <w:t>tax</w:t>
      </w:r>
      <w:r w:rsidR="009D400E">
        <w:rPr>
          <w:sz w:val="24"/>
        </w:rPr>
        <w:t xml:space="preserve"> </w:t>
      </w:r>
      <w:r w:rsidR="005B7C03">
        <w:rPr>
          <w:sz w:val="24"/>
        </w:rPr>
        <w:t>funds should be used. The majority of this committee agreed upon the location of West Side Park over Cumberland Park. The Board of Directors made this decision official on August 21, 1895.</w:t>
      </w:r>
      <w:r w:rsidR="005B7C03">
        <w:rPr>
          <w:rStyle w:val="FootnoteReference"/>
          <w:sz w:val="24"/>
        </w:rPr>
        <w:footnoteReference w:id="45"/>
      </w:r>
    </w:p>
    <w:p w:rsidR="003F4B09" w:rsidRDefault="007B78D2" w:rsidP="006A2213">
      <w:pPr>
        <w:spacing w:line="480" w:lineRule="auto"/>
        <w:contextualSpacing/>
        <w:rPr>
          <w:sz w:val="24"/>
        </w:rPr>
      </w:pPr>
      <w:r>
        <w:rPr>
          <w:sz w:val="24"/>
        </w:rPr>
        <w:tab/>
        <w:t xml:space="preserve">Moving </w:t>
      </w:r>
      <w:proofErr w:type="gramStart"/>
      <w:r>
        <w:rPr>
          <w:sz w:val="24"/>
        </w:rPr>
        <w:t>fairly quickly</w:t>
      </w:r>
      <w:proofErr w:type="gramEnd"/>
      <w:r>
        <w:rPr>
          <w:sz w:val="24"/>
        </w:rPr>
        <w:t xml:space="preserve"> through the planning process</w:t>
      </w:r>
      <w:r w:rsidR="003456E1">
        <w:rPr>
          <w:sz w:val="24"/>
        </w:rPr>
        <w:t>, Director General E. C. Lewis presented his plans for layout of the grounds and position of the buildings to be constructed on site to the Executive Committee</w:t>
      </w:r>
      <w:r w:rsidR="009C6D61" w:rsidRPr="009C6D61">
        <w:rPr>
          <w:sz w:val="24"/>
        </w:rPr>
        <w:t xml:space="preserve"> </w:t>
      </w:r>
      <w:r w:rsidR="009C6D61">
        <w:rPr>
          <w:sz w:val="24"/>
        </w:rPr>
        <w:t>on September 12, 1895</w:t>
      </w:r>
      <w:r w:rsidR="003456E1">
        <w:rPr>
          <w:sz w:val="24"/>
        </w:rPr>
        <w:t xml:space="preserve">. </w:t>
      </w:r>
      <w:r w:rsidR="009C14E2">
        <w:rPr>
          <w:sz w:val="24"/>
        </w:rPr>
        <w:t xml:space="preserve">The grounds would have multiple structures that centered </w:t>
      </w:r>
      <w:r w:rsidR="00017B4B">
        <w:rPr>
          <w:sz w:val="24"/>
        </w:rPr>
        <w:t>around one</w:t>
      </w:r>
      <w:r w:rsidR="009C14E2">
        <w:rPr>
          <w:sz w:val="24"/>
        </w:rPr>
        <w:t xml:space="preserve"> particular </w:t>
      </w:r>
      <w:r w:rsidR="00215303">
        <w:rPr>
          <w:sz w:val="24"/>
        </w:rPr>
        <w:t>building</w:t>
      </w:r>
      <w:r w:rsidR="00017B4B">
        <w:rPr>
          <w:sz w:val="24"/>
        </w:rPr>
        <w:t xml:space="preserve"> with the highest style of architecture at the time – an exact reproduction of the Parthenon</w:t>
      </w:r>
      <w:r w:rsidR="005C5C12">
        <w:rPr>
          <w:sz w:val="24"/>
        </w:rPr>
        <w:t xml:space="preserve"> (See Figure 2-7)</w:t>
      </w:r>
      <w:r w:rsidR="00017B4B">
        <w:rPr>
          <w:sz w:val="24"/>
        </w:rPr>
        <w:t>.</w:t>
      </w:r>
      <w:r w:rsidR="00017B4B">
        <w:rPr>
          <w:rStyle w:val="FootnoteReference"/>
          <w:sz w:val="24"/>
        </w:rPr>
        <w:footnoteReference w:id="46"/>
      </w:r>
      <w:r w:rsidR="00017B4B">
        <w:rPr>
          <w:sz w:val="24"/>
        </w:rPr>
        <w:t xml:space="preserve"> </w:t>
      </w:r>
      <w:r w:rsidR="003456E1">
        <w:rPr>
          <w:sz w:val="24"/>
        </w:rPr>
        <w:t>The committee unanimously agreed</w:t>
      </w:r>
      <w:r w:rsidR="009C14E2">
        <w:rPr>
          <w:sz w:val="24"/>
        </w:rPr>
        <w:t xml:space="preserve"> on his plans. </w:t>
      </w:r>
    </w:p>
    <w:p w:rsidR="00AB34C4" w:rsidRDefault="003F4B09" w:rsidP="003F4B09">
      <w:pPr>
        <w:spacing w:line="480" w:lineRule="auto"/>
        <w:ind w:firstLine="720"/>
        <w:contextualSpacing/>
        <w:rPr>
          <w:sz w:val="24"/>
        </w:rPr>
      </w:pPr>
      <w:r>
        <w:rPr>
          <w:sz w:val="24"/>
        </w:rPr>
        <w:t>The idea was to create a perfect city that recreated and resembled the past century of history in the state.</w:t>
      </w:r>
      <w:r>
        <w:rPr>
          <w:rStyle w:val="FootnoteReference"/>
          <w:sz w:val="24"/>
        </w:rPr>
        <w:footnoteReference w:id="47"/>
      </w:r>
      <w:r>
        <w:rPr>
          <w:sz w:val="24"/>
        </w:rPr>
        <w:t xml:space="preserve"> This physical gesture paid tribute to Tennessee and more specifically, Nashville’s past. H</w:t>
      </w:r>
      <w:r w:rsidRPr="00BC5FCE">
        <w:rPr>
          <w:sz w:val="24"/>
        </w:rPr>
        <w:t>ousing at the Exposition manifestations of cultural</w:t>
      </w:r>
      <w:r w:rsidRPr="003F4B09">
        <w:rPr>
          <w:sz w:val="24"/>
        </w:rPr>
        <w:t xml:space="preserve"> </w:t>
      </w:r>
      <w:r w:rsidRPr="00BC5FCE">
        <w:rPr>
          <w:sz w:val="24"/>
        </w:rPr>
        <w:t>identity, achievement, and meaning</w:t>
      </w:r>
      <w:r>
        <w:rPr>
          <w:sz w:val="24"/>
        </w:rPr>
        <w:t xml:space="preserve"> – the fine arts –</w:t>
      </w:r>
      <w:r w:rsidRPr="00BC5FCE">
        <w:rPr>
          <w:sz w:val="24"/>
        </w:rPr>
        <w:t xml:space="preserve"> </w:t>
      </w:r>
      <w:r>
        <w:rPr>
          <w:sz w:val="24"/>
        </w:rPr>
        <w:t>the Parthenon would be readapted to reflect the cultural history of Nashville in light of the sophisticated identification with Classical Athens. However, the architectural style and the classical associations were not lost on the city of Nashville, but were entirely conventional to the</w:t>
      </w:r>
      <w:r w:rsidRPr="003F4B09">
        <w:rPr>
          <w:sz w:val="24"/>
        </w:rPr>
        <w:t xml:space="preserve"> </w:t>
      </w:r>
      <w:r>
        <w:rPr>
          <w:sz w:val="24"/>
        </w:rPr>
        <w:t>cultural aesthetics.</w:t>
      </w:r>
    </w:p>
    <w:p w:rsidR="0094473F" w:rsidRDefault="00AB34C4" w:rsidP="0094473F">
      <w:pPr>
        <w:keepNext/>
        <w:spacing w:line="480" w:lineRule="auto"/>
        <w:contextualSpacing/>
      </w:pPr>
      <w:r>
        <w:rPr>
          <w:noProof/>
          <w:sz w:val="24"/>
        </w:rPr>
        <w:lastRenderedPageBreak/>
        <w:drawing>
          <wp:inline distT="0" distB="0" distL="0" distR="0" wp14:anchorId="3A0B9EE3" wp14:editId="6ADB352B">
            <wp:extent cx="5943600" cy="414909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CE 189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4149090"/>
                    </a:xfrm>
                    <a:prstGeom prst="rect">
                      <a:avLst/>
                    </a:prstGeom>
                    <a:effectLst>
                      <a:softEdge rad="31750"/>
                    </a:effectLst>
                  </pic:spPr>
                </pic:pic>
              </a:graphicData>
            </a:graphic>
          </wp:inline>
        </w:drawing>
      </w:r>
    </w:p>
    <w:p w:rsidR="0094473F" w:rsidRPr="003408B0" w:rsidRDefault="005C5C12" w:rsidP="003408B0">
      <w:pPr>
        <w:pStyle w:val="Heading2"/>
        <w:jc w:val="center"/>
      </w:pPr>
      <w:bookmarkStart w:id="50" w:name="_Toc468630832"/>
      <w:bookmarkStart w:id="51" w:name="_Toc468648999"/>
      <w:r w:rsidRPr="003408B0">
        <w:t>Figure 2</w:t>
      </w:r>
      <w:r w:rsidR="008671D4" w:rsidRPr="003408B0">
        <w:noBreakHyphen/>
      </w:r>
      <w:r w:rsidR="008671D4" w:rsidRPr="003408B0">
        <w:fldChar w:fldCharType="begin"/>
      </w:r>
      <w:r w:rsidR="008671D4" w:rsidRPr="003408B0">
        <w:instrText xml:space="preserve"> SEQ Figure \* ARABIC \s 1 </w:instrText>
      </w:r>
      <w:r w:rsidR="008671D4" w:rsidRPr="003408B0">
        <w:fldChar w:fldCharType="separate"/>
      </w:r>
      <w:r w:rsidR="00FA56AB">
        <w:rPr>
          <w:noProof/>
        </w:rPr>
        <w:t>7</w:t>
      </w:r>
      <w:r w:rsidR="008671D4" w:rsidRPr="003408B0">
        <w:fldChar w:fldCharType="end"/>
      </w:r>
      <w:r w:rsidR="003408B0" w:rsidRPr="003408B0">
        <w:t>:</w:t>
      </w:r>
      <w:r w:rsidR="0094473F" w:rsidRPr="003408B0">
        <w:t xml:space="preserve">  Tennessee Centennial Exposition, Nashville, Tennessee, 1897</w:t>
      </w:r>
      <w:bookmarkEnd w:id="50"/>
      <w:bookmarkEnd w:id="51"/>
    </w:p>
    <w:p w:rsidR="0094473F" w:rsidRPr="0094473F" w:rsidRDefault="004D0F73" w:rsidP="004D0F73">
      <w:pPr>
        <w:pStyle w:val="Caption"/>
        <w:contextualSpacing/>
        <w:jc w:val="center"/>
        <w:rPr>
          <w:b w:val="0"/>
          <w:sz w:val="24"/>
        </w:rPr>
      </w:pPr>
      <w:proofErr w:type="gramStart"/>
      <w:r>
        <w:rPr>
          <w:b w:val="0"/>
          <w:sz w:val="24"/>
        </w:rPr>
        <w:t>Courtesy of the Library of Congress.</w:t>
      </w:r>
      <w:proofErr w:type="gramEnd"/>
      <w:r>
        <w:rPr>
          <w:b w:val="0"/>
          <w:sz w:val="24"/>
        </w:rPr>
        <w:t xml:space="preserve"> </w:t>
      </w:r>
      <w:proofErr w:type="gramStart"/>
      <w:r w:rsidR="0094473F" w:rsidRPr="004D0F73">
        <w:rPr>
          <w:b w:val="0"/>
          <w:i/>
          <w:sz w:val="24"/>
        </w:rPr>
        <w:t>Tennessee Centennial Exposition, Nashville, Tennessee, 1897</w:t>
      </w:r>
      <w:r w:rsidR="0094473F" w:rsidRPr="0094473F">
        <w:rPr>
          <w:b w:val="0"/>
          <w:sz w:val="24"/>
        </w:rPr>
        <w:t>.</w:t>
      </w:r>
      <w:proofErr w:type="gramEnd"/>
      <w:r w:rsidR="0094473F" w:rsidRPr="0094473F">
        <w:rPr>
          <w:b w:val="0"/>
          <w:sz w:val="24"/>
        </w:rPr>
        <w:t xml:space="preserve"> [</w:t>
      </w:r>
      <w:proofErr w:type="spellStart"/>
      <w:r w:rsidR="0094473F" w:rsidRPr="0094473F">
        <w:rPr>
          <w:b w:val="0"/>
          <w:sz w:val="24"/>
        </w:rPr>
        <w:t>n.p</w:t>
      </w:r>
      <w:proofErr w:type="spellEnd"/>
      <w:r w:rsidR="0094473F" w:rsidRPr="0094473F">
        <w:rPr>
          <w:b w:val="0"/>
          <w:sz w:val="24"/>
        </w:rPr>
        <w:t xml:space="preserve">, 1896] </w:t>
      </w:r>
      <w:proofErr w:type="gramStart"/>
      <w:r w:rsidR="0094473F" w:rsidRPr="0094473F">
        <w:rPr>
          <w:b w:val="0"/>
          <w:sz w:val="24"/>
        </w:rPr>
        <w:t>Map.</w:t>
      </w:r>
      <w:proofErr w:type="gramEnd"/>
      <w:r w:rsidR="0094473F" w:rsidRPr="0094473F">
        <w:rPr>
          <w:b w:val="0"/>
          <w:sz w:val="24"/>
        </w:rPr>
        <w:t xml:space="preserve"> </w:t>
      </w:r>
      <w:proofErr w:type="gramStart"/>
      <w:r w:rsidR="0094473F" w:rsidRPr="0094473F">
        <w:rPr>
          <w:b w:val="0"/>
          <w:sz w:val="24"/>
        </w:rPr>
        <w:t xml:space="preserve">Retrieved from the Library of Congress, </w:t>
      </w:r>
      <w:hyperlink r:id="rId24" w:history="1">
        <w:r w:rsidR="0094473F" w:rsidRPr="00850ECC">
          <w:rPr>
            <w:rStyle w:val="Hyperlink"/>
            <w:b w:val="0"/>
            <w:sz w:val="24"/>
          </w:rPr>
          <w:t>https://www.loc.gov/item/77696328/</w:t>
        </w:r>
      </w:hyperlink>
      <w:r w:rsidR="0094473F">
        <w:rPr>
          <w:b w:val="0"/>
          <w:sz w:val="24"/>
        </w:rPr>
        <w:t>.</w:t>
      </w:r>
      <w:proofErr w:type="gramEnd"/>
    </w:p>
    <w:p w:rsidR="002209DE" w:rsidRDefault="002209DE" w:rsidP="006A2213">
      <w:pPr>
        <w:spacing w:line="480" w:lineRule="auto"/>
        <w:contextualSpacing/>
        <w:rPr>
          <w:sz w:val="24"/>
        </w:rPr>
      </w:pPr>
    </w:p>
    <w:p w:rsidR="002E0FF6" w:rsidRDefault="0073697A" w:rsidP="006A2213">
      <w:pPr>
        <w:spacing w:line="480" w:lineRule="auto"/>
        <w:contextualSpacing/>
        <w:rPr>
          <w:sz w:val="24"/>
        </w:rPr>
      </w:pPr>
      <w:r>
        <w:rPr>
          <w:sz w:val="24"/>
        </w:rPr>
        <w:t xml:space="preserve">A lengthy but necessary and </w:t>
      </w:r>
      <w:r w:rsidR="0010170E">
        <w:rPr>
          <w:sz w:val="24"/>
        </w:rPr>
        <w:t>well-worded</w:t>
      </w:r>
      <w:r>
        <w:rPr>
          <w:sz w:val="24"/>
        </w:rPr>
        <w:t xml:space="preserve"> quote from </w:t>
      </w:r>
      <w:r w:rsidR="00F92F1F">
        <w:rPr>
          <w:sz w:val="24"/>
        </w:rPr>
        <w:t xml:space="preserve">Herman </w:t>
      </w:r>
      <w:proofErr w:type="spellStart"/>
      <w:r w:rsidR="00F92F1F">
        <w:rPr>
          <w:sz w:val="24"/>
        </w:rPr>
        <w:t>Justi</w:t>
      </w:r>
      <w:proofErr w:type="spellEnd"/>
      <w:r w:rsidR="00F92F1F">
        <w:rPr>
          <w:sz w:val="24"/>
        </w:rPr>
        <w:t xml:space="preserve"> </w:t>
      </w:r>
      <w:r>
        <w:rPr>
          <w:sz w:val="24"/>
        </w:rPr>
        <w:t xml:space="preserve">as he writes, edits, </w:t>
      </w:r>
      <w:proofErr w:type="gramStart"/>
      <w:r>
        <w:rPr>
          <w:sz w:val="24"/>
        </w:rPr>
        <w:t>and</w:t>
      </w:r>
      <w:proofErr w:type="gramEnd"/>
      <w:r>
        <w:rPr>
          <w:sz w:val="24"/>
        </w:rPr>
        <w:t xml:space="preserve"> references</w:t>
      </w:r>
      <w:r w:rsidR="0010170E">
        <w:rPr>
          <w:sz w:val="24"/>
        </w:rPr>
        <w:t xml:space="preserve"> states:</w:t>
      </w:r>
      <w:r>
        <w:rPr>
          <w:sz w:val="24"/>
        </w:rPr>
        <w:t xml:space="preserve"> </w:t>
      </w:r>
    </w:p>
    <w:p w:rsidR="006339AA" w:rsidRDefault="006339AA" w:rsidP="00F92F1F">
      <w:pPr>
        <w:spacing w:line="480" w:lineRule="auto"/>
        <w:ind w:left="1440"/>
        <w:contextualSpacing/>
        <w:rPr>
          <w:sz w:val="24"/>
        </w:rPr>
      </w:pPr>
      <w:r>
        <w:rPr>
          <w:sz w:val="24"/>
        </w:rPr>
        <w:t xml:space="preserve">Situation, surroundings, atmosphere, motive, associations – all these contribute to render a masterly reproduction of the Parthenon perfect. In </w:t>
      </w:r>
      <w:proofErr w:type="gramStart"/>
      <w:r>
        <w:rPr>
          <w:sz w:val="24"/>
        </w:rPr>
        <w:t>size</w:t>
      </w:r>
      <w:proofErr w:type="gramEnd"/>
      <w:r>
        <w:rPr>
          <w:sz w:val="24"/>
        </w:rPr>
        <w:t xml:space="preserve"> it is, in detail it is believed to be, a recreation of what </w:t>
      </w:r>
      <w:r w:rsidR="00077D08">
        <w:rPr>
          <w:sz w:val="24"/>
        </w:rPr>
        <w:t xml:space="preserve">Ictinus built and Phidias adorned. All the best authorities were carefully studied, </w:t>
      </w:r>
      <w:proofErr w:type="gramStart"/>
      <w:r w:rsidR="00077D08">
        <w:rPr>
          <w:sz w:val="24"/>
        </w:rPr>
        <w:t xml:space="preserve">and </w:t>
      </w:r>
      <w:r w:rsidR="00077D08">
        <w:rPr>
          <w:sz w:val="24"/>
        </w:rPr>
        <w:lastRenderedPageBreak/>
        <w:t>Penrose</w:t>
      </w:r>
      <w:proofErr w:type="gramEnd"/>
      <w:r w:rsidR="00077D08">
        <w:rPr>
          <w:sz w:val="24"/>
        </w:rPr>
        <w:t xml:space="preserve">, whose investigations seem to have been the most thorough, and whose conclusions appear the most probable, was religiously followed by the accomplished architect in charge. </w:t>
      </w:r>
      <w:r w:rsidR="00B76CA9">
        <w:rPr>
          <w:sz w:val="24"/>
        </w:rPr>
        <w:t xml:space="preserve">On a commanding site in the center of West Side Park, and crowning a lovely terrace, the Parthenon overlooks the beautiful valley of the Cumberland, facing the splendor of the rising sun. In the distance to the east rises the State Capital of Tennessee, erected not in honor of, but honoring the famous school of Grecian architecture of which its new neighbor, the reproduced Parthenon, is the best and greatest exemplification. In speaking of the architecture of the State House, it may not be amiss to observe that the Grecian school seems to dominate the Southern architecture generally, and that in the South this stately style long ago found its home. What </w:t>
      </w:r>
      <w:proofErr w:type="gramStart"/>
      <w:r w:rsidR="00B76CA9">
        <w:rPr>
          <w:sz w:val="24"/>
        </w:rPr>
        <w:t>has been already said</w:t>
      </w:r>
      <w:proofErr w:type="gramEnd"/>
      <w:r w:rsidR="00B76CA9">
        <w:rPr>
          <w:sz w:val="24"/>
        </w:rPr>
        <w:t xml:space="preserve"> on this </w:t>
      </w:r>
      <w:r w:rsidR="00F92F1F">
        <w:rPr>
          <w:sz w:val="24"/>
        </w:rPr>
        <w:t>subject by</w:t>
      </w:r>
      <w:r w:rsidR="00B76CA9">
        <w:rPr>
          <w:sz w:val="24"/>
        </w:rPr>
        <w:t xml:space="preserve"> the lamented George W. Chambers is so well said, and is at once so true, that its insertion here will serve </w:t>
      </w:r>
      <w:r w:rsidR="00D577A3">
        <w:rPr>
          <w:sz w:val="24"/>
        </w:rPr>
        <w:t xml:space="preserve">the double purpose of reminding the reader of an interesting fact and of recalling to his mind an accomplished artist and a delightful man. Mr. Chambers wrote: </w:t>
      </w:r>
    </w:p>
    <w:p w:rsidR="00F92F1F" w:rsidRPr="00296E32" w:rsidRDefault="00F92F1F" w:rsidP="000D16B9">
      <w:pPr>
        <w:spacing w:line="480" w:lineRule="auto"/>
        <w:ind w:left="1440"/>
        <w:contextualSpacing/>
        <w:rPr>
          <w:sz w:val="24"/>
        </w:rPr>
      </w:pPr>
      <w:r>
        <w:rPr>
          <w:sz w:val="24"/>
        </w:rPr>
        <w:tab/>
        <w:t xml:space="preserve">Of the buildings </w:t>
      </w:r>
      <w:r w:rsidR="0073697A">
        <w:rPr>
          <w:sz w:val="24"/>
        </w:rPr>
        <w:t>already completed it would be invid</w:t>
      </w:r>
      <w:r w:rsidR="00FB01E9">
        <w:rPr>
          <w:sz w:val="24"/>
        </w:rPr>
        <w:t xml:space="preserve">ious to speak comparatively, and indeed unnecessary where all is so admirably planned and designed. </w:t>
      </w:r>
      <w:proofErr w:type="gramStart"/>
      <w:r w:rsidR="00FB01E9">
        <w:rPr>
          <w:sz w:val="24"/>
        </w:rPr>
        <w:t>And yet</w:t>
      </w:r>
      <w:proofErr w:type="gramEnd"/>
      <w:r w:rsidR="00FB01E9">
        <w:rPr>
          <w:sz w:val="24"/>
        </w:rPr>
        <w:t xml:space="preserve"> I </w:t>
      </w:r>
      <w:proofErr w:type="spellStart"/>
      <w:r w:rsidR="00FB01E9">
        <w:rPr>
          <w:sz w:val="24"/>
        </w:rPr>
        <w:t>can not</w:t>
      </w:r>
      <w:proofErr w:type="spellEnd"/>
      <w:r w:rsidR="00FB01E9">
        <w:rPr>
          <w:sz w:val="24"/>
        </w:rPr>
        <w:t xml:space="preserve"> omit a brief word concerning the Parthenon. Not i</w:t>
      </w:r>
      <w:r w:rsidR="003B4164">
        <w:rPr>
          <w:sz w:val="24"/>
        </w:rPr>
        <w:t>n its praise, for it needs none</w:t>
      </w:r>
      <w:r w:rsidR="00FB01E9">
        <w:rPr>
          <w:sz w:val="24"/>
        </w:rPr>
        <w:t xml:space="preserve">; nor of its history, for that is trite ; nor yet of the wisdom of choosing it as being adapted to the </w:t>
      </w:r>
      <w:r w:rsidR="00FB01E9">
        <w:rPr>
          <w:sz w:val="24"/>
        </w:rPr>
        <w:lastRenderedPageBreak/>
        <w:t xml:space="preserve">purpose, for that will be evident to all who enter it. The thought </w:t>
      </w:r>
      <w:proofErr w:type="gramStart"/>
      <w:r w:rsidR="00FB01E9">
        <w:rPr>
          <w:sz w:val="24"/>
        </w:rPr>
        <w:t>I</w:t>
      </w:r>
      <w:proofErr w:type="gramEnd"/>
      <w:r w:rsidR="00FB01E9">
        <w:rPr>
          <w:sz w:val="24"/>
        </w:rPr>
        <w:t xml:space="preserve"> had in looking at it on the day of my visit was that, strangely enough, it would perhaps, be less of a surprise to Southern visitors than other buildings commonplace enough in all respects. It will be perfectly familiar to them, and that, not because they have seen pictures of it, but because south of the Mason and Dixon line this is the type of architecture that was chosen for the stately homes as well as for State and public buildings. That choice of the classic Greek for all important work, domestic and national, is distinctly the choice of the South.</w:t>
      </w:r>
      <w:r w:rsidR="00296E32">
        <w:rPr>
          <w:sz w:val="24"/>
        </w:rPr>
        <w:t xml:space="preserve"> It would seem that, approaching the parallel of Athens in this country, it was a </w:t>
      </w:r>
      <w:r w:rsidR="00296E32">
        <w:rPr>
          <w:i/>
          <w:sz w:val="24"/>
        </w:rPr>
        <w:t>sine qua non</w:t>
      </w:r>
      <w:r w:rsidR="00296E32">
        <w:rPr>
          <w:sz w:val="24"/>
        </w:rPr>
        <w:t xml:space="preserve"> to follow its architecture. </w:t>
      </w:r>
      <w:proofErr w:type="gramStart"/>
      <w:r w:rsidR="00296E32">
        <w:rPr>
          <w:sz w:val="24"/>
        </w:rPr>
        <w:t>But however</w:t>
      </w:r>
      <w:proofErr w:type="gramEnd"/>
      <w:r w:rsidR="00296E32">
        <w:rPr>
          <w:sz w:val="24"/>
        </w:rPr>
        <w:t xml:space="preserve"> that may be, and whatever the cause, it will chance that the Southern contingent will look with familiar eyes upon the grand repose of the Parthenon. Of course, no one is going to bother himself much about what it all means, because we will all be too busy looking at and enjoying the beauty provided for us by the splendid energy and self-sacrifice of your people. </w:t>
      </w:r>
      <w:proofErr w:type="gramStart"/>
      <w:r w:rsidR="00296E32">
        <w:rPr>
          <w:sz w:val="24"/>
        </w:rPr>
        <w:t>But it might furnish a hal</w:t>
      </w:r>
      <w:r w:rsidR="00F4071A">
        <w:rPr>
          <w:sz w:val="24"/>
        </w:rPr>
        <w:t>f</w:t>
      </w:r>
      <w:r w:rsidR="00296E32">
        <w:rPr>
          <w:sz w:val="24"/>
        </w:rPr>
        <w:t>-hour’s pleasant reflection in some shady corner, to note first that this same Parthenon seems externally to be the most consistent building</w:t>
      </w:r>
      <w:r w:rsidR="000D16B9">
        <w:rPr>
          <w:sz w:val="24"/>
        </w:rPr>
        <w:t xml:space="preserve"> on the grounds ; and to consider after, whether the large simplicity, the wide repose, and the impressive stability of it did not somehow belong to that old life, from Virginia downward, which can never come again.</w:t>
      </w:r>
      <w:r w:rsidR="002B2ABC">
        <w:rPr>
          <w:rStyle w:val="FootnoteReference"/>
          <w:sz w:val="24"/>
        </w:rPr>
        <w:footnoteReference w:id="48"/>
      </w:r>
      <w:proofErr w:type="gramEnd"/>
      <w:r w:rsidR="000D16B9">
        <w:rPr>
          <w:sz w:val="24"/>
        </w:rPr>
        <w:t xml:space="preserve"> </w:t>
      </w:r>
    </w:p>
    <w:p w:rsidR="002209DE" w:rsidRDefault="008B262E" w:rsidP="008B262E">
      <w:pPr>
        <w:spacing w:line="480" w:lineRule="auto"/>
        <w:ind w:firstLine="720"/>
        <w:contextualSpacing/>
        <w:rPr>
          <w:sz w:val="24"/>
        </w:rPr>
      </w:pPr>
      <w:r>
        <w:rPr>
          <w:sz w:val="24"/>
        </w:rPr>
        <w:lastRenderedPageBreak/>
        <w:t xml:space="preserve">In Major Lewis’s eyes, there was something still yet distinct about the Parthenon’s architecture despite that this classical style was the distinct choice of the South. </w:t>
      </w:r>
      <w:r w:rsidR="00215303">
        <w:rPr>
          <w:sz w:val="24"/>
        </w:rPr>
        <w:t xml:space="preserve">Major E. C. Lewis’s daughter, </w:t>
      </w:r>
      <w:r w:rsidR="00850C8A">
        <w:rPr>
          <w:sz w:val="24"/>
        </w:rPr>
        <w:t xml:space="preserve">Mrs. James S. Frazer of Laurel Hill, </w:t>
      </w:r>
      <w:r w:rsidR="000306C3">
        <w:rPr>
          <w:sz w:val="24"/>
        </w:rPr>
        <w:t>spoke on what made the Parthenon distinct among the other classical styles in the city. “Papa abhorred, positively abhorred, the gingerbread that was so stylish in his day, and in 1896, as director-general of the coming Tennessee Centennial Exposition, he had the idea of making a replica of the Parthenon as an illustration of the simplicity and beauty of Grecian architecture. He thought the building would be a stimulus in the right direction away from horrid gingerbread.”</w:t>
      </w:r>
      <w:r w:rsidR="000306C3">
        <w:rPr>
          <w:rStyle w:val="FootnoteReference"/>
          <w:sz w:val="24"/>
        </w:rPr>
        <w:footnoteReference w:id="49"/>
      </w:r>
      <w:r w:rsidR="00627BDA">
        <w:rPr>
          <w:sz w:val="24"/>
        </w:rPr>
        <w:t xml:space="preserve"> In order to create a new cultural aesthetic to resemble the last century’s claimed identity as “Athens of the South,” and break </w:t>
      </w:r>
      <w:proofErr w:type="gramStart"/>
      <w:r w:rsidR="00627BDA">
        <w:rPr>
          <w:sz w:val="24"/>
        </w:rPr>
        <w:t>away  from</w:t>
      </w:r>
      <w:proofErr w:type="gramEnd"/>
      <w:r w:rsidR="00627BDA">
        <w:rPr>
          <w:sz w:val="24"/>
        </w:rPr>
        <w:t xml:space="preserve"> developers </w:t>
      </w:r>
      <w:r w:rsidR="00433E2A">
        <w:rPr>
          <w:sz w:val="24"/>
        </w:rPr>
        <w:t xml:space="preserve">mold of cookie-cutter architecture, Major Lewis decided to bring in one of the most grand spectacles of architecture to make and prove his point. </w:t>
      </w:r>
      <w:r w:rsidR="000F5BD4">
        <w:rPr>
          <w:sz w:val="24"/>
        </w:rPr>
        <w:t xml:space="preserve">In order to continue this identity and formulate it for a growing city that would inspire growth in spite of the recent economic scare, he would make sure that the Parthenon excelled in replication and position on the Centennial grounds. </w:t>
      </w:r>
      <w:r w:rsidR="00B95631">
        <w:rPr>
          <w:sz w:val="24"/>
        </w:rPr>
        <w:tab/>
      </w:r>
    </w:p>
    <w:p w:rsidR="00B95631" w:rsidRDefault="00B95631" w:rsidP="008B262E">
      <w:pPr>
        <w:spacing w:line="480" w:lineRule="auto"/>
        <w:ind w:firstLine="720"/>
        <w:contextualSpacing/>
        <w:rPr>
          <w:sz w:val="24"/>
        </w:rPr>
      </w:pPr>
      <w:r>
        <w:rPr>
          <w:sz w:val="24"/>
        </w:rPr>
        <w:t xml:space="preserve">Major Lewis was a man who strived for the details. In order to replicate the Parthenon to ideal </w:t>
      </w:r>
      <w:r w:rsidR="00351FBF">
        <w:rPr>
          <w:sz w:val="24"/>
        </w:rPr>
        <w:t xml:space="preserve">specifications, accurate measurements </w:t>
      </w:r>
      <w:proofErr w:type="gramStart"/>
      <w:r w:rsidR="00351FBF">
        <w:rPr>
          <w:sz w:val="24"/>
        </w:rPr>
        <w:t>were needed</w:t>
      </w:r>
      <w:proofErr w:type="gramEnd"/>
      <w:r w:rsidR="00351FBF">
        <w:rPr>
          <w:sz w:val="24"/>
        </w:rPr>
        <w:t xml:space="preserve">. The Major and the Centennial Exposition Company were not hesitant to pull out all the stops to see that the Parthenon was the centered, crowning achievement of the entire event. Contacting King George of Greece, they received permission to replicate the Parthenon. In April 1896, the Major spent $500 on two volumes recommended to him </w:t>
      </w:r>
      <w:r w:rsidR="00AA15A9">
        <w:rPr>
          <w:sz w:val="24"/>
        </w:rPr>
        <w:t xml:space="preserve">by the </w:t>
      </w:r>
      <w:r w:rsidR="00AA15A9">
        <w:rPr>
          <w:sz w:val="24"/>
        </w:rPr>
        <w:lastRenderedPageBreak/>
        <w:t xml:space="preserve">curator of the British Museum. These texts provided him with plans for the Parthenon’s </w:t>
      </w:r>
      <w:proofErr w:type="spellStart"/>
      <w:r w:rsidR="00AA15A9">
        <w:rPr>
          <w:sz w:val="24"/>
        </w:rPr>
        <w:t>relocational</w:t>
      </w:r>
      <w:proofErr w:type="spellEnd"/>
      <w:r w:rsidR="00AA15A9">
        <w:rPr>
          <w:sz w:val="24"/>
        </w:rPr>
        <w:t xml:space="preserve"> </w:t>
      </w:r>
      <w:proofErr w:type="spellStart"/>
      <w:r w:rsidR="00AA15A9">
        <w:rPr>
          <w:sz w:val="24"/>
        </w:rPr>
        <w:t>readaption</w:t>
      </w:r>
      <w:proofErr w:type="spellEnd"/>
      <w:r w:rsidR="00AA15A9">
        <w:rPr>
          <w:sz w:val="24"/>
        </w:rPr>
        <w:t xml:space="preserve">. </w:t>
      </w:r>
      <w:r w:rsidR="00AE1133">
        <w:rPr>
          <w:sz w:val="24"/>
        </w:rPr>
        <w:t xml:space="preserve">They were Francis Penrose’s (mentioned in Herman </w:t>
      </w:r>
      <w:proofErr w:type="spellStart"/>
      <w:r w:rsidR="00AE1133">
        <w:rPr>
          <w:sz w:val="24"/>
        </w:rPr>
        <w:t>Justi</w:t>
      </w:r>
      <w:proofErr w:type="spellEnd"/>
      <w:r w:rsidR="00AE1133">
        <w:rPr>
          <w:sz w:val="24"/>
        </w:rPr>
        <w:t xml:space="preserve"> above) </w:t>
      </w:r>
      <w:r w:rsidR="00AE1133">
        <w:rPr>
          <w:i/>
          <w:sz w:val="24"/>
        </w:rPr>
        <w:t xml:space="preserve">An Investigation of the Principles of Athenian Architecture, or the Results of a </w:t>
      </w:r>
      <w:r w:rsidR="00AE1133" w:rsidRPr="007C1AD3">
        <w:rPr>
          <w:i/>
          <w:sz w:val="24"/>
        </w:rPr>
        <w:t xml:space="preserve">Survey Conducted Chiefly </w:t>
      </w:r>
      <w:proofErr w:type="gramStart"/>
      <w:r w:rsidR="00AE1133" w:rsidRPr="007C1AD3">
        <w:rPr>
          <w:i/>
          <w:sz w:val="24"/>
        </w:rPr>
        <w:t>With</w:t>
      </w:r>
      <w:proofErr w:type="gramEnd"/>
      <w:r w:rsidR="00AE1133" w:rsidRPr="007C1AD3">
        <w:rPr>
          <w:i/>
          <w:sz w:val="24"/>
        </w:rPr>
        <w:t xml:space="preserve"> Reference to the Optical Refinements Exhibited in the Construction of the Ancient Buildings at Athens</w:t>
      </w:r>
      <w:r w:rsidR="00AE1133" w:rsidRPr="007C1AD3">
        <w:rPr>
          <w:sz w:val="24"/>
        </w:rPr>
        <w:t xml:space="preserve"> and Adolph </w:t>
      </w:r>
      <w:proofErr w:type="spellStart"/>
      <w:r w:rsidR="00AE1133" w:rsidRPr="007C1AD3">
        <w:rPr>
          <w:sz w:val="24"/>
        </w:rPr>
        <w:t>Michaelis’s</w:t>
      </w:r>
      <w:proofErr w:type="spellEnd"/>
      <w:r w:rsidR="00AE1133" w:rsidRPr="007C1AD3">
        <w:rPr>
          <w:sz w:val="24"/>
        </w:rPr>
        <w:t xml:space="preserve"> German text </w:t>
      </w:r>
      <w:r w:rsidR="00AE1133" w:rsidRPr="007C1AD3">
        <w:rPr>
          <w:i/>
          <w:sz w:val="24"/>
        </w:rPr>
        <w:t>De</w:t>
      </w:r>
      <w:r w:rsidR="002D4348" w:rsidRPr="007C1AD3">
        <w:rPr>
          <w:i/>
          <w:sz w:val="24"/>
        </w:rPr>
        <w:t xml:space="preserve">r Parthenon, </w:t>
      </w:r>
      <w:proofErr w:type="spellStart"/>
      <w:r w:rsidR="002D4348" w:rsidRPr="007C1AD3">
        <w:rPr>
          <w:i/>
          <w:sz w:val="24"/>
        </w:rPr>
        <w:t>mit</w:t>
      </w:r>
      <w:proofErr w:type="spellEnd"/>
      <w:r w:rsidR="002D4348" w:rsidRPr="007C1AD3">
        <w:rPr>
          <w:i/>
          <w:sz w:val="24"/>
        </w:rPr>
        <w:t xml:space="preserve"> </w:t>
      </w:r>
      <w:proofErr w:type="spellStart"/>
      <w:r w:rsidR="002D4348" w:rsidRPr="007C1AD3">
        <w:rPr>
          <w:i/>
          <w:sz w:val="24"/>
        </w:rPr>
        <w:t>Einen</w:t>
      </w:r>
      <w:proofErr w:type="spellEnd"/>
      <w:r w:rsidR="002D4348" w:rsidRPr="007C1AD3">
        <w:rPr>
          <w:i/>
          <w:sz w:val="24"/>
        </w:rPr>
        <w:t xml:space="preserve"> </w:t>
      </w:r>
      <w:proofErr w:type="spellStart"/>
      <w:r w:rsidR="002D4348" w:rsidRPr="007C1AD3">
        <w:rPr>
          <w:i/>
          <w:sz w:val="24"/>
        </w:rPr>
        <w:t>Texthaft</w:t>
      </w:r>
      <w:proofErr w:type="spellEnd"/>
      <w:r w:rsidR="000F29E8">
        <w:rPr>
          <w:sz w:val="24"/>
        </w:rPr>
        <w:t>.</w:t>
      </w:r>
      <w:r w:rsidR="002D4348" w:rsidRPr="007C1AD3">
        <w:rPr>
          <w:rStyle w:val="FootnoteReference"/>
          <w:sz w:val="24"/>
        </w:rPr>
        <w:footnoteReference w:id="50"/>
      </w:r>
      <w:r w:rsidR="002D660B" w:rsidRPr="007C1AD3">
        <w:rPr>
          <w:sz w:val="24"/>
        </w:rPr>
        <w:t xml:space="preserve"> </w:t>
      </w:r>
      <w:r w:rsidR="002D660B" w:rsidRPr="007C1AD3">
        <w:rPr>
          <w:rFonts w:cs="Times New Roman"/>
          <w:sz w:val="24"/>
          <w:szCs w:val="24"/>
        </w:rPr>
        <w:t xml:space="preserve">Receiving drawings (some from the French </w:t>
      </w:r>
      <w:r w:rsidR="000674B5">
        <w:rPr>
          <w:rFonts w:cs="Times New Roman"/>
          <w:sz w:val="24"/>
          <w:szCs w:val="24"/>
        </w:rPr>
        <w:t xml:space="preserve">diplomat Jacques Carrey in </w:t>
      </w:r>
      <w:r w:rsidR="002D660B" w:rsidRPr="007C1AD3">
        <w:rPr>
          <w:rFonts w:cs="Times New Roman"/>
          <w:sz w:val="24"/>
          <w:szCs w:val="24"/>
        </w:rPr>
        <w:t xml:space="preserve">1674, showing the building thirteen years before the explosion in the Turkish-Venetian conflict), recordings, and architectural records from King George </w:t>
      </w:r>
      <w:proofErr w:type="gramStart"/>
      <w:r w:rsidR="002D660B" w:rsidRPr="007C1AD3">
        <w:rPr>
          <w:rFonts w:cs="Times New Roman"/>
          <w:sz w:val="24"/>
          <w:szCs w:val="24"/>
        </w:rPr>
        <w:t>I</w:t>
      </w:r>
      <w:proofErr w:type="gramEnd"/>
      <w:r w:rsidR="002D660B" w:rsidRPr="007C1AD3">
        <w:rPr>
          <w:rFonts w:cs="Times New Roman"/>
          <w:sz w:val="24"/>
          <w:szCs w:val="24"/>
        </w:rPr>
        <w:t xml:space="preserve"> of Greece, the Exposition Parthenon was underway.</w:t>
      </w:r>
      <w:r w:rsidR="002D660B" w:rsidRPr="007C1AD3">
        <w:rPr>
          <w:rStyle w:val="FootnoteReference"/>
          <w:rFonts w:cs="Times New Roman"/>
          <w:sz w:val="24"/>
          <w:szCs w:val="24"/>
        </w:rPr>
        <w:footnoteReference w:id="51"/>
      </w:r>
      <w:r w:rsidR="007C1AD3" w:rsidRPr="007C1AD3">
        <w:rPr>
          <w:rFonts w:cs="Times New Roman"/>
          <w:sz w:val="24"/>
          <w:szCs w:val="24"/>
        </w:rPr>
        <w:t xml:space="preserve"> The Exposition Parthenon was the first building completed. Additionally, no other building at the Exposition </w:t>
      </w:r>
      <w:proofErr w:type="gramStart"/>
      <w:r w:rsidR="007C1AD3" w:rsidRPr="007C1AD3">
        <w:rPr>
          <w:rFonts w:cs="Times New Roman"/>
          <w:sz w:val="24"/>
          <w:szCs w:val="24"/>
        </w:rPr>
        <w:t>was built</w:t>
      </w:r>
      <w:proofErr w:type="gramEnd"/>
      <w:r w:rsidR="007C1AD3" w:rsidRPr="007C1AD3">
        <w:rPr>
          <w:rFonts w:cs="Times New Roman"/>
          <w:sz w:val="24"/>
          <w:szCs w:val="24"/>
        </w:rPr>
        <w:t xml:space="preserve"> intentionally as an exact replica like the Exposition Parthenon</w:t>
      </w:r>
      <w:r w:rsidR="007C1AD3">
        <w:rPr>
          <w:rFonts w:cs="Times New Roman"/>
          <w:sz w:val="24"/>
          <w:szCs w:val="24"/>
        </w:rPr>
        <w:t>; i</w:t>
      </w:r>
      <w:r w:rsidR="007C1AD3" w:rsidRPr="007C1AD3">
        <w:rPr>
          <w:rFonts w:cs="Times New Roman"/>
          <w:sz w:val="24"/>
          <w:szCs w:val="24"/>
        </w:rPr>
        <w:t>t was the world’s only exterior replica of the Parthenon with that detail.</w:t>
      </w:r>
      <w:r w:rsidR="007C1AD3" w:rsidRPr="007C1AD3">
        <w:rPr>
          <w:rStyle w:val="FootnoteReference"/>
          <w:rFonts w:cs="Times New Roman"/>
          <w:sz w:val="24"/>
          <w:szCs w:val="24"/>
        </w:rPr>
        <w:footnoteReference w:id="52"/>
      </w:r>
      <w:r w:rsidR="007C1AD3" w:rsidRPr="007C1AD3">
        <w:rPr>
          <w:rFonts w:cs="Times New Roman"/>
          <w:sz w:val="24"/>
          <w:szCs w:val="24"/>
        </w:rPr>
        <w:t xml:space="preserve"> Inside, the </w:t>
      </w:r>
      <w:r w:rsidR="007C1AD3">
        <w:rPr>
          <w:rFonts w:cs="Times New Roman"/>
          <w:sz w:val="24"/>
          <w:szCs w:val="24"/>
        </w:rPr>
        <w:t>“Fine Arts Building”</w:t>
      </w:r>
      <w:r w:rsidR="007C1AD3" w:rsidRPr="007C1AD3">
        <w:rPr>
          <w:rFonts w:cs="Times New Roman"/>
          <w:sz w:val="24"/>
          <w:szCs w:val="24"/>
        </w:rPr>
        <w:t xml:space="preserve"> housed an extensive art gallery, reflecting Nashville’s artistic culture and American paintings.</w:t>
      </w:r>
    </w:p>
    <w:p w:rsidR="002D4348" w:rsidRDefault="00B53865" w:rsidP="008B262E">
      <w:pPr>
        <w:spacing w:line="480" w:lineRule="auto"/>
        <w:ind w:firstLine="720"/>
        <w:contextualSpacing/>
        <w:rPr>
          <w:sz w:val="24"/>
        </w:rPr>
      </w:pPr>
      <w:r>
        <w:rPr>
          <w:sz w:val="24"/>
        </w:rPr>
        <w:t xml:space="preserve">While it is clear why the </w:t>
      </w:r>
      <w:r w:rsidR="002D4348">
        <w:rPr>
          <w:sz w:val="24"/>
        </w:rPr>
        <w:t>elite leaders of Nashville might desire to display the cultural might of Nashville at the turn of the century</w:t>
      </w:r>
      <w:r w:rsidR="005C5C12">
        <w:rPr>
          <w:sz w:val="24"/>
        </w:rPr>
        <w:t xml:space="preserve"> (See Figure 2-8)</w:t>
      </w:r>
      <w:r w:rsidR="002D4348">
        <w:rPr>
          <w:sz w:val="24"/>
        </w:rPr>
        <w:t xml:space="preserve">, the </w:t>
      </w:r>
      <w:r>
        <w:rPr>
          <w:sz w:val="24"/>
        </w:rPr>
        <w:t xml:space="preserve">particular selection of the </w:t>
      </w:r>
      <w:r w:rsidR="002D4348">
        <w:rPr>
          <w:sz w:val="24"/>
        </w:rPr>
        <w:t>Parthenon</w:t>
      </w:r>
      <w:r w:rsidR="0051330C">
        <w:rPr>
          <w:sz w:val="24"/>
        </w:rPr>
        <w:t xml:space="preserve"> requires further analysis</w:t>
      </w:r>
      <w:r w:rsidR="002D4348">
        <w:rPr>
          <w:sz w:val="24"/>
        </w:rPr>
        <w:t xml:space="preserve">. Certainly, such architecture </w:t>
      </w:r>
      <w:proofErr w:type="gramStart"/>
      <w:r w:rsidR="002D4348">
        <w:rPr>
          <w:sz w:val="24"/>
        </w:rPr>
        <w:t>was respected and highly regarded as a symbol of the educated and elite</w:t>
      </w:r>
      <w:proofErr w:type="gramEnd"/>
      <w:r w:rsidR="002D4348">
        <w:rPr>
          <w:sz w:val="24"/>
        </w:rPr>
        <w:t xml:space="preserve">. </w:t>
      </w:r>
      <w:r w:rsidR="008B7B3A">
        <w:rPr>
          <w:sz w:val="24"/>
        </w:rPr>
        <w:t xml:space="preserve">It is clear that the </w:t>
      </w:r>
      <w:r w:rsidR="008B7B3A">
        <w:rPr>
          <w:sz w:val="24"/>
        </w:rPr>
        <w:lastRenderedPageBreak/>
        <w:t xml:space="preserve">Major knew that if Nashville’s “gingerbreads” were to continue, that there would be nothing culturally rich and distinct about Nashville. </w:t>
      </w:r>
      <w:proofErr w:type="gramStart"/>
      <w:r w:rsidR="008B7B3A">
        <w:rPr>
          <w:sz w:val="24"/>
        </w:rPr>
        <w:t xml:space="preserve">To break the architectural mold that began to overtake the city, to reflect and symbolize the cultural identity of the past century as “Athens of the South,” and to </w:t>
      </w:r>
      <w:r w:rsidR="002353F2">
        <w:rPr>
          <w:sz w:val="24"/>
        </w:rPr>
        <w:t xml:space="preserve">reinforce such cultural identity by displaying the greatest of artwork within the shell of the Parthenon in place of the goddess Athena for the world to come to Nashville to see must have been the intentions behind its replication and </w:t>
      </w:r>
      <w:proofErr w:type="spellStart"/>
      <w:r w:rsidR="002353F2">
        <w:rPr>
          <w:sz w:val="24"/>
        </w:rPr>
        <w:t>readaption</w:t>
      </w:r>
      <w:proofErr w:type="spellEnd"/>
      <w:r w:rsidR="002353F2">
        <w:rPr>
          <w:sz w:val="24"/>
        </w:rPr>
        <w:t>.</w:t>
      </w:r>
      <w:proofErr w:type="gramEnd"/>
      <w:r w:rsidR="002353F2">
        <w:rPr>
          <w:sz w:val="24"/>
        </w:rPr>
        <w:t xml:space="preserve"> </w:t>
      </w:r>
    </w:p>
    <w:p w:rsidR="00BE37E7" w:rsidRDefault="00D435C0" w:rsidP="00BE37E7">
      <w:pPr>
        <w:keepNext/>
        <w:spacing w:line="480" w:lineRule="auto"/>
        <w:contextualSpacing/>
      </w:pPr>
      <w:r>
        <w:rPr>
          <w:noProof/>
          <w:sz w:val="24"/>
        </w:rPr>
        <w:drawing>
          <wp:inline distT="0" distB="0" distL="0" distR="0" wp14:anchorId="7D92E215" wp14:editId="06F83C63">
            <wp:extent cx="5895975" cy="3867150"/>
            <wp:effectExtent l="0" t="0" r="9525" b="0"/>
            <wp:docPr id="17" name="Picture 17" descr="C:\Users\Luke\Desktop\Electricity Parthenon 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uke\Desktop\Electricity Parthenon 83.PNG"/>
                    <pic:cNvPicPr>
                      <a:picLocks noChangeAspect="1" noChangeArrowheads="1"/>
                    </pic:cNvPicPr>
                  </pic:nvPicPr>
                  <pic:blipFill rotWithShape="1">
                    <a:blip r:embed="rId25">
                      <a:extLst>
                        <a:ext uri="{28A0092B-C50C-407E-A947-70E740481C1C}">
                          <a14:useLocalDpi xmlns:a14="http://schemas.microsoft.com/office/drawing/2010/main" val="0"/>
                        </a:ext>
                      </a:extLst>
                    </a:blip>
                    <a:srcRect r="802" b="3563"/>
                    <a:stretch/>
                  </pic:blipFill>
                  <pic:spPr bwMode="auto">
                    <a:xfrm>
                      <a:off x="0" y="0"/>
                      <a:ext cx="5895975" cy="3867150"/>
                    </a:xfrm>
                    <a:prstGeom prst="rect">
                      <a:avLst/>
                    </a:prstGeom>
                    <a:noFill/>
                    <a:ln>
                      <a:noFill/>
                    </a:ln>
                    <a:extLst>
                      <a:ext uri="{53640926-AAD7-44D8-BBD7-CCE9431645EC}">
                        <a14:shadowObscured xmlns:a14="http://schemas.microsoft.com/office/drawing/2010/main"/>
                      </a:ext>
                    </a:extLst>
                  </pic:spPr>
                </pic:pic>
              </a:graphicData>
            </a:graphic>
          </wp:inline>
        </w:drawing>
      </w:r>
    </w:p>
    <w:p w:rsidR="00BE37E7" w:rsidRPr="003408B0" w:rsidRDefault="00C97FD4" w:rsidP="003408B0">
      <w:pPr>
        <w:pStyle w:val="Heading2"/>
        <w:jc w:val="center"/>
      </w:pPr>
      <w:bookmarkStart w:id="52" w:name="_Toc468630833"/>
      <w:bookmarkStart w:id="53" w:name="_Toc468649000"/>
      <w:r w:rsidRPr="003408B0">
        <w:t>Figure 2</w:t>
      </w:r>
      <w:r w:rsidR="008671D4" w:rsidRPr="003408B0">
        <w:noBreakHyphen/>
      </w:r>
      <w:r w:rsidR="008671D4" w:rsidRPr="003408B0">
        <w:fldChar w:fldCharType="begin"/>
      </w:r>
      <w:r w:rsidR="008671D4" w:rsidRPr="003408B0">
        <w:instrText xml:space="preserve"> SEQ Figure \* ARABIC \s 1 </w:instrText>
      </w:r>
      <w:r w:rsidR="008671D4" w:rsidRPr="003408B0">
        <w:fldChar w:fldCharType="separate"/>
      </w:r>
      <w:r w:rsidR="00FA56AB">
        <w:rPr>
          <w:noProof/>
        </w:rPr>
        <w:t>8</w:t>
      </w:r>
      <w:r w:rsidR="008671D4" w:rsidRPr="003408B0">
        <w:fldChar w:fldCharType="end"/>
      </w:r>
      <w:r w:rsidR="003408B0" w:rsidRPr="003408B0">
        <w:t>:</w:t>
      </w:r>
      <w:r w:rsidR="00BE37E7" w:rsidRPr="003408B0">
        <w:t xml:space="preserve"> Electric Effect by Moonlight</w:t>
      </w:r>
      <w:bookmarkEnd w:id="52"/>
      <w:bookmarkEnd w:id="53"/>
    </w:p>
    <w:p w:rsidR="00D435C0" w:rsidRDefault="00BE37E7" w:rsidP="00BE37E7">
      <w:pPr>
        <w:spacing w:line="240" w:lineRule="auto"/>
        <w:contextualSpacing/>
        <w:jc w:val="center"/>
        <w:rPr>
          <w:color w:val="548DD4" w:themeColor="text2" w:themeTint="99"/>
          <w:sz w:val="24"/>
        </w:rPr>
      </w:pPr>
      <w:proofErr w:type="gramStart"/>
      <w:r w:rsidRPr="00BE37E7">
        <w:rPr>
          <w:color w:val="548DD4" w:themeColor="text2" w:themeTint="99"/>
          <w:sz w:val="24"/>
        </w:rPr>
        <w:t xml:space="preserve">Reprinted from Herman </w:t>
      </w:r>
      <w:proofErr w:type="spellStart"/>
      <w:r w:rsidRPr="00BE37E7">
        <w:rPr>
          <w:color w:val="548DD4" w:themeColor="text2" w:themeTint="99"/>
          <w:sz w:val="24"/>
        </w:rPr>
        <w:t>Justi</w:t>
      </w:r>
      <w:proofErr w:type="spellEnd"/>
      <w:r w:rsidRPr="00BE37E7">
        <w:rPr>
          <w:color w:val="548DD4" w:themeColor="text2" w:themeTint="99"/>
          <w:sz w:val="24"/>
        </w:rPr>
        <w:t>, ed., The Official History of the Tennessee Centennial Exposition (Nashvi</w:t>
      </w:r>
      <w:r>
        <w:rPr>
          <w:color w:val="548DD4" w:themeColor="text2" w:themeTint="99"/>
          <w:sz w:val="24"/>
        </w:rPr>
        <w:t>lle: Brandon Printing, 1898), 83</w:t>
      </w:r>
      <w:r w:rsidRPr="00BE37E7">
        <w:rPr>
          <w:color w:val="548DD4" w:themeColor="text2" w:themeTint="99"/>
          <w:sz w:val="24"/>
        </w:rPr>
        <w:t>.</w:t>
      </w:r>
      <w:proofErr w:type="gramEnd"/>
    </w:p>
    <w:p w:rsidR="00215303" w:rsidRPr="00BE37E7" w:rsidRDefault="00215303" w:rsidP="00BE37E7">
      <w:pPr>
        <w:spacing w:line="240" w:lineRule="auto"/>
        <w:contextualSpacing/>
        <w:jc w:val="center"/>
        <w:rPr>
          <w:color w:val="548DD4" w:themeColor="text2" w:themeTint="99"/>
          <w:sz w:val="24"/>
        </w:rPr>
      </w:pPr>
    </w:p>
    <w:p w:rsidR="002D660B" w:rsidRDefault="002D660B" w:rsidP="008B262E">
      <w:pPr>
        <w:spacing w:line="480" w:lineRule="auto"/>
        <w:ind w:firstLine="720"/>
        <w:contextualSpacing/>
        <w:rPr>
          <w:sz w:val="24"/>
        </w:rPr>
      </w:pPr>
      <w:r>
        <w:rPr>
          <w:sz w:val="24"/>
        </w:rPr>
        <w:lastRenderedPageBreak/>
        <w:t>When the exposition opene</w:t>
      </w:r>
      <w:r w:rsidR="0090130D">
        <w:rPr>
          <w:sz w:val="24"/>
        </w:rPr>
        <w:t xml:space="preserve">d, </w:t>
      </w:r>
      <w:r w:rsidR="002C28F4">
        <w:rPr>
          <w:sz w:val="24"/>
        </w:rPr>
        <w:t>locals and visitors, in the final report of admissions numbering 1,786,016,</w:t>
      </w:r>
      <w:r w:rsidR="000F29E8">
        <w:rPr>
          <w:rStyle w:val="FootnoteReference"/>
          <w:sz w:val="24"/>
        </w:rPr>
        <w:footnoteReference w:id="53"/>
      </w:r>
      <w:r w:rsidR="00AB34C4">
        <w:rPr>
          <w:sz w:val="24"/>
        </w:rPr>
        <w:t xml:space="preserve"> </w:t>
      </w:r>
      <w:r w:rsidR="00215303">
        <w:rPr>
          <w:sz w:val="24"/>
        </w:rPr>
        <w:t xml:space="preserve">saw </w:t>
      </w:r>
      <w:r w:rsidR="00AB34C4">
        <w:rPr>
          <w:sz w:val="24"/>
        </w:rPr>
        <w:t xml:space="preserve">the Parthenon replicated as </w:t>
      </w:r>
      <w:r w:rsidR="00517BA3">
        <w:rPr>
          <w:sz w:val="24"/>
        </w:rPr>
        <w:t xml:space="preserve">a </w:t>
      </w:r>
      <w:r w:rsidR="00AB34C4">
        <w:rPr>
          <w:sz w:val="24"/>
        </w:rPr>
        <w:t xml:space="preserve">Fine Arts Building. </w:t>
      </w:r>
      <w:r w:rsidR="00207CFD">
        <w:rPr>
          <w:sz w:val="24"/>
        </w:rPr>
        <w:t>“</w:t>
      </w:r>
      <w:r w:rsidR="00207CFD" w:rsidRPr="00207CFD">
        <w:rPr>
          <w:sz w:val="24"/>
        </w:rPr>
        <w:t>Within its classic walls during the period of the Exposition were gathered the most valuable works of art ever exhibited in the Sout</w:t>
      </w:r>
      <w:r w:rsidR="00797B31">
        <w:rPr>
          <w:sz w:val="24"/>
        </w:rPr>
        <w:t>h, and one of the best loan col</w:t>
      </w:r>
      <w:r w:rsidR="00286526">
        <w:rPr>
          <w:sz w:val="24"/>
        </w:rPr>
        <w:t>lections ever se</w:t>
      </w:r>
      <w:r w:rsidR="00207CFD" w:rsidRPr="00207CFD">
        <w:rPr>
          <w:sz w:val="24"/>
        </w:rPr>
        <w:t>en in the United States.</w:t>
      </w:r>
      <w:r w:rsidR="00207CFD">
        <w:rPr>
          <w:sz w:val="24"/>
        </w:rPr>
        <w:t>”</w:t>
      </w:r>
      <w:r w:rsidR="00286526">
        <w:rPr>
          <w:rStyle w:val="FootnoteReference"/>
          <w:sz w:val="24"/>
        </w:rPr>
        <w:footnoteReference w:id="54"/>
      </w:r>
      <w:r w:rsidR="00CE28FA">
        <w:rPr>
          <w:sz w:val="24"/>
        </w:rPr>
        <w:t xml:space="preserve"> Built by Robert Thomas Creighton of Foster and Creighton Company</w:t>
      </w:r>
      <w:r w:rsidR="002B751E">
        <w:rPr>
          <w:sz w:val="24"/>
        </w:rPr>
        <w:t xml:space="preserve"> with Colonel William Smith as chief sculptor, the Parthenon housed </w:t>
      </w:r>
      <w:r w:rsidR="00E073F8">
        <w:rPr>
          <w:sz w:val="24"/>
        </w:rPr>
        <w:t xml:space="preserve">over one thousand works of art that primarily displayed Romantic landscapes, classical antiquity, classical mythology, and </w:t>
      </w:r>
      <w:r w:rsidR="00E94F85">
        <w:rPr>
          <w:sz w:val="24"/>
        </w:rPr>
        <w:t xml:space="preserve">life at the turn of the century. </w:t>
      </w:r>
    </w:p>
    <w:p w:rsidR="00E94F85" w:rsidRPr="002D4348" w:rsidRDefault="00E94F85" w:rsidP="008B262E">
      <w:pPr>
        <w:spacing w:line="480" w:lineRule="auto"/>
        <w:ind w:firstLine="720"/>
        <w:contextualSpacing/>
        <w:rPr>
          <w:sz w:val="24"/>
        </w:rPr>
      </w:pPr>
      <w:r>
        <w:rPr>
          <w:sz w:val="24"/>
        </w:rPr>
        <w:t xml:space="preserve">Even though the Parthenon as the Fine Arts Building was an Exposition </w:t>
      </w:r>
      <w:r w:rsidR="006F6763">
        <w:rPr>
          <w:sz w:val="24"/>
        </w:rPr>
        <w:t xml:space="preserve">itself, visitors and locals would have enjoyed much more at the Exposition by exploring the life of African-Americans in the Negro Building, the life of the Southern </w:t>
      </w:r>
      <w:proofErr w:type="gramStart"/>
      <w:r w:rsidR="006F6763">
        <w:rPr>
          <w:sz w:val="24"/>
        </w:rPr>
        <w:t>lady</w:t>
      </w:r>
      <w:proofErr w:type="gramEnd"/>
      <w:r w:rsidR="006F6763">
        <w:rPr>
          <w:sz w:val="24"/>
        </w:rPr>
        <w:t xml:space="preserve"> in the Women’</w:t>
      </w:r>
      <w:r w:rsidR="002E22AD">
        <w:rPr>
          <w:sz w:val="24"/>
        </w:rPr>
        <w:t xml:space="preserve">s Building. Also they would have experienced </w:t>
      </w:r>
      <w:r w:rsidR="006F6763">
        <w:rPr>
          <w:sz w:val="24"/>
        </w:rPr>
        <w:t xml:space="preserve">international cultures, foods, dance, and music at the Cuban Village, Streets of Cairo, and </w:t>
      </w:r>
      <w:r w:rsidR="002E22AD">
        <w:rPr>
          <w:sz w:val="24"/>
        </w:rPr>
        <w:t xml:space="preserve">Chinese Village, the water ride “Chute the Chute,” the attraction “The Giant Seesaw,” and the History Building. </w:t>
      </w:r>
      <w:r w:rsidR="00E957A8">
        <w:rPr>
          <w:sz w:val="24"/>
        </w:rPr>
        <w:t xml:space="preserve">Each day </w:t>
      </w:r>
      <w:proofErr w:type="gramStart"/>
      <w:r w:rsidR="00E957A8">
        <w:rPr>
          <w:sz w:val="24"/>
        </w:rPr>
        <w:t>showcased</w:t>
      </w:r>
      <w:proofErr w:type="gramEnd"/>
      <w:r w:rsidR="00E957A8">
        <w:rPr>
          <w:sz w:val="24"/>
        </w:rPr>
        <w:t xml:space="preserve"> a different celebration</w:t>
      </w:r>
      <w:r w:rsidR="00813405">
        <w:rPr>
          <w:sz w:val="24"/>
        </w:rPr>
        <w:t>, people group,</w:t>
      </w:r>
      <w:r w:rsidR="00E957A8">
        <w:rPr>
          <w:sz w:val="24"/>
        </w:rPr>
        <w:t xml:space="preserve"> </w:t>
      </w:r>
      <w:r w:rsidR="00813405">
        <w:rPr>
          <w:sz w:val="24"/>
        </w:rPr>
        <w:t>or</w:t>
      </w:r>
      <w:r w:rsidR="00E957A8">
        <w:rPr>
          <w:sz w:val="24"/>
        </w:rPr>
        <w:t xml:space="preserve"> activity from the opening day on </w:t>
      </w:r>
      <w:r w:rsidR="00A52AD6">
        <w:rPr>
          <w:sz w:val="24"/>
        </w:rPr>
        <w:t xml:space="preserve">May 1, 1897 to closing day October 30, 1897. </w:t>
      </w:r>
    </w:p>
    <w:p w:rsidR="002209DE" w:rsidRDefault="00783C90" w:rsidP="006A2213">
      <w:pPr>
        <w:spacing w:line="480" w:lineRule="auto"/>
        <w:contextualSpacing/>
        <w:rPr>
          <w:sz w:val="24"/>
        </w:rPr>
      </w:pPr>
      <w:r>
        <w:rPr>
          <w:sz w:val="24"/>
        </w:rPr>
        <w:tab/>
        <w:t xml:space="preserve">The Parthenon </w:t>
      </w:r>
      <w:proofErr w:type="gramStart"/>
      <w:r>
        <w:rPr>
          <w:sz w:val="24"/>
        </w:rPr>
        <w:t>was well received</w:t>
      </w:r>
      <w:proofErr w:type="gramEnd"/>
      <w:r>
        <w:rPr>
          <w:sz w:val="24"/>
        </w:rPr>
        <w:t xml:space="preserve">, as was the exposition as a whole. On June 13, 1898, Public Auditor Frank Goodman reported that </w:t>
      </w:r>
      <w:r w:rsidR="00486302">
        <w:rPr>
          <w:sz w:val="24"/>
        </w:rPr>
        <w:t xml:space="preserve">receipts were $1,101,285.84 with disbursements of $1,101,246.40, leaving the Centennial Exposition Company </w:t>
      </w:r>
      <w:r w:rsidR="00581A8D">
        <w:rPr>
          <w:sz w:val="24"/>
        </w:rPr>
        <w:t xml:space="preserve">$39.44 in </w:t>
      </w:r>
      <w:r w:rsidR="00581A8D">
        <w:rPr>
          <w:sz w:val="24"/>
        </w:rPr>
        <w:lastRenderedPageBreak/>
        <w:t>the black</w:t>
      </w:r>
      <w:r w:rsidR="00813405">
        <w:rPr>
          <w:rStyle w:val="FootnoteReference"/>
          <w:sz w:val="24"/>
        </w:rPr>
        <w:footnoteReference w:id="55"/>
      </w:r>
      <w:r w:rsidR="00813405">
        <w:rPr>
          <w:sz w:val="24"/>
        </w:rPr>
        <w:t xml:space="preserve"> </w:t>
      </w:r>
      <w:r w:rsidR="00581A8D">
        <w:rPr>
          <w:sz w:val="24"/>
        </w:rPr>
        <w:t xml:space="preserve">and </w:t>
      </w:r>
      <w:r w:rsidR="00813405">
        <w:rPr>
          <w:sz w:val="24"/>
        </w:rPr>
        <w:t xml:space="preserve">making the Tennessee Centennial Exposition one of the few expositions that did not lose money. </w:t>
      </w:r>
      <w:proofErr w:type="gramStart"/>
      <w:r w:rsidR="00A302AD">
        <w:rPr>
          <w:sz w:val="24"/>
        </w:rPr>
        <w:t>As Wilbur Creighton observes: “Captain Smith’s suggestion that an Exposition would divert public attention from the depression proved to have been true.”</w:t>
      </w:r>
      <w:proofErr w:type="gramEnd"/>
      <w:r w:rsidR="00A302AD">
        <w:rPr>
          <w:rStyle w:val="FootnoteReference"/>
          <w:sz w:val="24"/>
        </w:rPr>
        <w:footnoteReference w:id="56"/>
      </w:r>
      <w:r w:rsidR="00A302AD">
        <w:rPr>
          <w:sz w:val="24"/>
        </w:rPr>
        <w:t xml:space="preserve"> </w:t>
      </w:r>
      <w:r w:rsidR="00C16659">
        <w:rPr>
          <w:sz w:val="24"/>
        </w:rPr>
        <w:t xml:space="preserve">With a million dollars fluxed into the local economy, </w:t>
      </w:r>
      <w:r w:rsidR="003A7890">
        <w:rPr>
          <w:sz w:val="24"/>
        </w:rPr>
        <w:t xml:space="preserve">a profitable increase in </w:t>
      </w:r>
      <w:r w:rsidR="00C16659">
        <w:rPr>
          <w:sz w:val="24"/>
        </w:rPr>
        <w:t xml:space="preserve">transportation to Nashville, and an even further increase in new residents </w:t>
      </w:r>
      <w:r w:rsidR="003A7890">
        <w:rPr>
          <w:sz w:val="24"/>
        </w:rPr>
        <w:t>of</w:t>
      </w:r>
      <w:r w:rsidR="00C16659">
        <w:rPr>
          <w:sz w:val="24"/>
        </w:rPr>
        <w:t xml:space="preserve"> Nashville, </w:t>
      </w:r>
      <w:r w:rsidR="003D3FC0">
        <w:rPr>
          <w:sz w:val="24"/>
        </w:rPr>
        <w:t xml:space="preserve">the Exposition paid off, even though it </w:t>
      </w:r>
      <w:proofErr w:type="gramStart"/>
      <w:r w:rsidR="003D3FC0">
        <w:rPr>
          <w:sz w:val="24"/>
        </w:rPr>
        <w:t>was not alleg</w:t>
      </w:r>
      <w:r w:rsidR="003A7890">
        <w:rPr>
          <w:sz w:val="24"/>
        </w:rPr>
        <w:t>edly assembled</w:t>
      </w:r>
      <w:proofErr w:type="gramEnd"/>
      <w:r w:rsidR="003A7890">
        <w:rPr>
          <w:sz w:val="24"/>
        </w:rPr>
        <w:t xml:space="preserve"> for the purpose of economic and political gains. </w:t>
      </w:r>
    </w:p>
    <w:p w:rsidR="003D3FC0" w:rsidRDefault="003D3FC0" w:rsidP="006A2213">
      <w:pPr>
        <w:spacing w:line="480" w:lineRule="auto"/>
        <w:contextualSpacing/>
        <w:rPr>
          <w:sz w:val="24"/>
        </w:rPr>
      </w:pPr>
      <w:r>
        <w:rPr>
          <w:sz w:val="24"/>
        </w:rPr>
        <w:tab/>
        <w:t>When the Tennessee Centennial Exposition was still a formation of an idea in 1894, there was an intention to create a Fine Arts Building and leave it on the grounds permanently alongside the History, Architecture, and Education Buildings.</w:t>
      </w:r>
      <w:r w:rsidR="001652A1">
        <w:rPr>
          <w:rStyle w:val="FootnoteReference"/>
          <w:sz w:val="24"/>
        </w:rPr>
        <w:footnoteReference w:id="57"/>
      </w:r>
      <w:r>
        <w:rPr>
          <w:sz w:val="24"/>
        </w:rPr>
        <w:t xml:space="preserve"> </w:t>
      </w:r>
      <w:r w:rsidR="004B19C0">
        <w:rPr>
          <w:sz w:val="24"/>
        </w:rPr>
        <w:t>When</w:t>
      </w:r>
      <w:r>
        <w:rPr>
          <w:sz w:val="24"/>
        </w:rPr>
        <w:t xml:space="preserve"> Maj</w:t>
      </w:r>
      <w:r w:rsidR="004B19C0">
        <w:rPr>
          <w:sz w:val="24"/>
        </w:rPr>
        <w:t xml:space="preserve">or Lewis proposed </w:t>
      </w:r>
      <w:r w:rsidR="00AC3BF3">
        <w:rPr>
          <w:sz w:val="24"/>
        </w:rPr>
        <w:t xml:space="preserve">that </w:t>
      </w:r>
      <w:r w:rsidR="004B19C0">
        <w:rPr>
          <w:sz w:val="24"/>
        </w:rPr>
        <w:t>the Parthenon</w:t>
      </w:r>
      <w:r w:rsidR="00026B25">
        <w:rPr>
          <w:sz w:val="24"/>
        </w:rPr>
        <w:t xml:space="preserve"> </w:t>
      </w:r>
      <w:proofErr w:type="gramStart"/>
      <w:r w:rsidR="00026B25">
        <w:rPr>
          <w:sz w:val="24"/>
        </w:rPr>
        <w:t>be recreated</w:t>
      </w:r>
      <w:proofErr w:type="gramEnd"/>
      <w:r w:rsidR="00026B25">
        <w:rPr>
          <w:sz w:val="24"/>
        </w:rPr>
        <w:t xml:space="preserve"> </w:t>
      </w:r>
      <w:r>
        <w:rPr>
          <w:sz w:val="24"/>
        </w:rPr>
        <w:t>as the Fine Arts Building</w:t>
      </w:r>
      <w:r w:rsidR="004B19C0">
        <w:rPr>
          <w:sz w:val="24"/>
        </w:rPr>
        <w:t xml:space="preserve">, an idea that </w:t>
      </w:r>
      <w:r>
        <w:rPr>
          <w:sz w:val="24"/>
        </w:rPr>
        <w:t xml:space="preserve">was received </w:t>
      </w:r>
      <w:r w:rsidR="004B19C0">
        <w:rPr>
          <w:sz w:val="24"/>
        </w:rPr>
        <w:t xml:space="preserve">well </w:t>
      </w:r>
      <w:r>
        <w:rPr>
          <w:sz w:val="24"/>
        </w:rPr>
        <w:t xml:space="preserve">by visitors and locals alike, there was no question that the Parthenon was to remain on the Centennial Expositional grounds. </w:t>
      </w:r>
      <w:r w:rsidR="009D3F61">
        <w:rPr>
          <w:sz w:val="24"/>
        </w:rPr>
        <w:t>In a letter to President Thomas</w:t>
      </w:r>
      <w:r w:rsidR="00286FF2">
        <w:rPr>
          <w:sz w:val="24"/>
        </w:rPr>
        <w:t xml:space="preserve"> on June 13, 1898</w:t>
      </w:r>
      <w:r w:rsidR="009D3F61">
        <w:rPr>
          <w:sz w:val="24"/>
        </w:rPr>
        <w:t xml:space="preserve">, Major Lewis explained that he </w:t>
      </w:r>
      <w:r w:rsidR="00DC28CD">
        <w:rPr>
          <w:sz w:val="24"/>
        </w:rPr>
        <w:t>placed Robert Creighton in charge of dismantling and leaving certain buildings</w:t>
      </w:r>
      <w:r w:rsidR="00882473">
        <w:rPr>
          <w:sz w:val="24"/>
        </w:rPr>
        <w:t xml:space="preserve"> and that a few more than expected were still left</w:t>
      </w:r>
      <w:r w:rsidR="00DC28CD">
        <w:rPr>
          <w:sz w:val="24"/>
        </w:rPr>
        <w:t>:</w:t>
      </w:r>
    </w:p>
    <w:p w:rsidR="00DC28CD" w:rsidRDefault="009D7FCE" w:rsidP="00286FF2">
      <w:pPr>
        <w:spacing w:line="480" w:lineRule="auto"/>
        <w:ind w:left="1440"/>
        <w:contextualSpacing/>
        <w:rPr>
          <w:sz w:val="24"/>
        </w:rPr>
      </w:pPr>
      <w:r>
        <w:rPr>
          <w:sz w:val="24"/>
        </w:rPr>
        <w:t>In addition to the assets furnished, we have the following structures still standing upon the grounds</w:t>
      </w:r>
      <w:r w:rsidR="00882473">
        <w:rPr>
          <w:sz w:val="24"/>
        </w:rPr>
        <w:t xml:space="preserve">, which, held intact, would be of great value, but are worth as salvage, only about $10,000: Parthenon, History Building, Auditorium, flag staff, two band stands, Rialto and two small </w:t>
      </w:r>
      <w:r w:rsidR="00882473">
        <w:rPr>
          <w:sz w:val="24"/>
        </w:rPr>
        <w:lastRenderedPageBreak/>
        <w:t>bridges</w:t>
      </w:r>
      <w:r w:rsidR="00CE43B1">
        <w:rPr>
          <w:sz w:val="24"/>
        </w:rPr>
        <w:t xml:space="preserve">, one pagoda, Emergency Hospital, Children’s Nursery, and several other minor structures. The grounds are leased, and payment arranged for until </w:t>
      </w:r>
      <w:r w:rsidR="00D270F1">
        <w:rPr>
          <w:sz w:val="24"/>
        </w:rPr>
        <w:t>September</w:t>
      </w:r>
      <w:r w:rsidR="00CE43B1">
        <w:rPr>
          <w:sz w:val="24"/>
        </w:rPr>
        <w:t xml:space="preserve"> 16, 1898, and you therefore have </w:t>
      </w:r>
      <w:proofErr w:type="gramStart"/>
      <w:r w:rsidR="00286FF2">
        <w:rPr>
          <w:sz w:val="24"/>
        </w:rPr>
        <w:t>till</w:t>
      </w:r>
      <w:proofErr w:type="gramEnd"/>
      <w:r w:rsidR="00286FF2">
        <w:rPr>
          <w:sz w:val="24"/>
        </w:rPr>
        <w:t xml:space="preserve"> that time, without further arrangement, to remove these structures in order to have them bring any value to you.</w:t>
      </w:r>
      <w:r w:rsidR="00286FF2">
        <w:rPr>
          <w:rStyle w:val="FootnoteReference"/>
          <w:sz w:val="24"/>
        </w:rPr>
        <w:footnoteReference w:id="58"/>
      </w:r>
    </w:p>
    <w:p w:rsidR="004605CC" w:rsidRDefault="0073215E" w:rsidP="006A2213">
      <w:pPr>
        <w:spacing w:line="480" w:lineRule="auto"/>
        <w:contextualSpacing/>
        <w:rPr>
          <w:sz w:val="24"/>
        </w:rPr>
      </w:pPr>
      <w:r>
        <w:rPr>
          <w:sz w:val="24"/>
        </w:rPr>
        <w:tab/>
      </w:r>
      <w:r w:rsidR="00EB29BE">
        <w:rPr>
          <w:sz w:val="24"/>
        </w:rPr>
        <w:t xml:space="preserve">The fact that the Parthenon remained until it </w:t>
      </w:r>
      <w:proofErr w:type="gramStart"/>
      <w:r w:rsidR="00EB29BE">
        <w:rPr>
          <w:sz w:val="24"/>
        </w:rPr>
        <w:t>was rebuilt</w:t>
      </w:r>
      <w:proofErr w:type="gramEnd"/>
      <w:r w:rsidR="00EB29BE">
        <w:rPr>
          <w:sz w:val="24"/>
        </w:rPr>
        <w:t xml:space="preserve"> with </w:t>
      </w:r>
      <w:r w:rsidR="00374A3B">
        <w:rPr>
          <w:sz w:val="24"/>
        </w:rPr>
        <w:t xml:space="preserve">materials that are more permanent in </w:t>
      </w:r>
      <w:r w:rsidR="000A2B4E">
        <w:rPr>
          <w:sz w:val="24"/>
        </w:rPr>
        <w:t>1920</w:t>
      </w:r>
      <w:r w:rsidR="00C27D60">
        <w:rPr>
          <w:sz w:val="24"/>
        </w:rPr>
        <w:t xml:space="preserve"> </w:t>
      </w:r>
      <w:r w:rsidR="00887AEB">
        <w:rPr>
          <w:sz w:val="24"/>
        </w:rPr>
        <w:t>implies</w:t>
      </w:r>
      <w:r w:rsidR="00047ACE">
        <w:rPr>
          <w:sz w:val="24"/>
        </w:rPr>
        <w:t xml:space="preserve"> that most committee members and </w:t>
      </w:r>
      <w:r w:rsidR="00EC10B5">
        <w:rPr>
          <w:sz w:val="24"/>
        </w:rPr>
        <w:t>most</w:t>
      </w:r>
      <w:r w:rsidR="00047ACE">
        <w:rPr>
          <w:sz w:val="24"/>
        </w:rPr>
        <w:t xml:space="preserve"> administratively involved</w:t>
      </w:r>
      <w:r w:rsidR="00EC10B5">
        <w:rPr>
          <w:sz w:val="24"/>
        </w:rPr>
        <w:t xml:space="preserve"> desired to keep the Parthenon on the grounds. </w:t>
      </w:r>
      <w:r w:rsidR="00CC10DD">
        <w:rPr>
          <w:sz w:val="24"/>
        </w:rPr>
        <w:t xml:space="preserve">The exterior grade plaster only lasted a short time like the original </w:t>
      </w:r>
      <w:r w:rsidR="00662933">
        <w:rPr>
          <w:sz w:val="24"/>
        </w:rPr>
        <w:t>occurrence of the Athen</w:t>
      </w:r>
      <w:r w:rsidR="00D95E0B">
        <w:rPr>
          <w:sz w:val="24"/>
        </w:rPr>
        <w:t>ian</w:t>
      </w:r>
      <w:r w:rsidR="00662933">
        <w:rPr>
          <w:sz w:val="24"/>
        </w:rPr>
        <w:t xml:space="preserve"> identity</w:t>
      </w:r>
      <w:r w:rsidR="00D95E0B">
        <w:rPr>
          <w:sz w:val="24"/>
        </w:rPr>
        <w:t xml:space="preserve"> and needed rejuvenation;</w:t>
      </w:r>
      <w:r w:rsidR="00CC10DD">
        <w:rPr>
          <w:sz w:val="24"/>
        </w:rPr>
        <w:t xml:space="preserve"> the new Parthenon under the direct supervision of the newly formed </w:t>
      </w:r>
      <w:r w:rsidR="00803773">
        <w:rPr>
          <w:sz w:val="24"/>
        </w:rPr>
        <w:t>Park Board</w:t>
      </w:r>
      <w:r w:rsidR="00CC10DD">
        <w:rPr>
          <w:sz w:val="24"/>
        </w:rPr>
        <w:t xml:space="preserve"> would </w:t>
      </w:r>
      <w:r w:rsidR="00CA6345">
        <w:rPr>
          <w:sz w:val="24"/>
        </w:rPr>
        <w:t>re</w:t>
      </w:r>
      <w:r w:rsidR="00CC10DD">
        <w:rPr>
          <w:sz w:val="24"/>
        </w:rPr>
        <w:t>build from the original foundation and bricks</w:t>
      </w:r>
      <w:r w:rsidR="00CA6345">
        <w:rPr>
          <w:sz w:val="24"/>
        </w:rPr>
        <w:t xml:space="preserve"> and</w:t>
      </w:r>
      <w:r w:rsidR="00EB212F">
        <w:rPr>
          <w:sz w:val="24"/>
        </w:rPr>
        <w:t xml:space="preserve"> </w:t>
      </w:r>
      <w:r w:rsidR="00D95E0B">
        <w:rPr>
          <w:sz w:val="24"/>
        </w:rPr>
        <w:t xml:space="preserve">carry </w:t>
      </w:r>
      <w:r w:rsidR="00CA6345">
        <w:rPr>
          <w:sz w:val="24"/>
        </w:rPr>
        <w:t>the</w:t>
      </w:r>
      <w:r w:rsidR="00D95E0B">
        <w:rPr>
          <w:sz w:val="24"/>
        </w:rPr>
        <w:t xml:space="preserve"> Athenian identity</w:t>
      </w:r>
      <w:r w:rsidR="00CC10DD">
        <w:rPr>
          <w:sz w:val="24"/>
        </w:rPr>
        <w:t xml:space="preserve"> </w:t>
      </w:r>
      <w:r w:rsidR="00EB212F">
        <w:rPr>
          <w:sz w:val="24"/>
        </w:rPr>
        <w:t xml:space="preserve">into a new century </w:t>
      </w:r>
      <w:r w:rsidR="00CA6345">
        <w:rPr>
          <w:sz w:val="24"/>
        </w:rPr>
        <w:t xml:space="preserve">for </w:t>
      </w:r>
      <w:r w:rsidR="00EB212F">
        <w:rPr>
          <w:sz w:val="24"/>
        </w:rPr>
        <w:t xml:space="preserve">Nashville. </w:t>
      </w:r>
    </w:p>
    <w:p w:rsidR="004605CC" w:rsidRDefault="004605CC" w:rsidP="006A2213">
      <w:pPr>
        <w:spacing w:line="480" w:lineRule="auto"/>
        <w:contextualSpacing/>
        <w:rPr>
          <w:sz w:val="24"/>
        </w:rPr>
      </w:pPr>
    </w:p>
    <w:p w:rsidR="004605CC" w:rsidRDefault="004605CC" w:rsidP="006A2213">
      <w:pPr>
        <w:spacing w:line="480" w:lineRule="auto"/>
        <w:contextualSpacing/>
        <w:rPr>
          <w:sz w:val="24"/>
        </w:rPr>
      </w:pPr>
    </w:p>
    <w:p w:rsidR="0097155E" w:rsidRDefault="0097155E" w:rsidP="006A2213">
      <w:pPr>
        <w:spacing w:line="480" w:lineRule="auto"/>
        <w:contextualSpacing/>
        <w:rPr>
          <w:sz w:val="24"/>
        </w:rPr>
      </w:pPr>
    </w:p>
    <w:p w:rsidR="004E0130" w:rsidRDefault="004E0130" w:rsidP="006A2213">
      <w:pPr>
        <w:spacing w:line="480" w:lineRule="auto"/>
        <w:contextualSpacing/>
        <w:rPr>
          <w:sz w:val="24"/>
        </w:rPr>
      </w:pPr>
    </w:p>
    <w:p w:rsidR="00F05F28" w:rsidRDefault="00F05F28" w:rsidP="006A2213">
      <w:pPr>
        <w:spacing w:line="480" w:lineRule="auto"/>
        <w:contextualSpacing/>
        <w:rPr>
          <w:sz w:val="24"/>
        </w:rPr>
      </w:pPr>
    </w:p>
    <w:p w:rsidR="00F05F28" w:rsidRDefault="00F05F28" w:rsidP="006A2213">
      <w:pPr>
        <w:spacing w:line="480" w:lineRule="auto"/>
        <w:contextualSpacing/>
        <w:rPr>
          <w:sz w:val="24"/>
        </w:rPr>
      </w:pPr>
    </w:p>
    <w:p w:rsidR="00F05F28" w:rsidRDefault="00F05F28" w:rsidP="006A2213">
      <w:pPr>
        <w:spacing w:line="480" w:lineRule="auto"/>
        <w:contextualSpacing/>
        <w:rPr>
          <w:sz w:val="24"/>
        </w:rPr>
      </w:pPr>
    </w:p>
    <w:p w:rsidR="00F05F28" w:rsidRDefault="00F05F28" w:rsidP="006A2213">
      <w:pPr>
        <w:spacing w:line="480" w:lineRule="auto"/>
        <w:contextualSpacing/>
        <w:rPr>
          <w:sz w:val="24"/>
        </w:rPr>
      </w:pPr>
    </w:p>
    <w:p w:rsidR="00F05F28" w:rsidRDefault="00F05F28" w:rsidP="006A2213">
      <w:pPr>
        <w:spacing w:line="480" w:lineRule="auto"/>
        <w:contextualSpacing/>
        <w:rPr>
          <w:sz w:val="24"/>
        </w:rPr>
      </w:pPr>
    </w:p>
    <w:p w:rsidR="0097155E" w:rsidRPr="00BC2A51" w:rsidRDefault="0097155E" w:rsidP="005F43BB">
      <w:pPr>
        <w:pStyle w:val="Heading1"/>
        <w:spacing w:line="480" w:lineRule="auto"/>
        <w:contextualSpacing/>
        <w:jc w:val="center"/>
        <w:rPr>
          <w:i/>
        </w:rPr>
      </w:pPr>
      <w:bookmarkStart w:id="54" w:name="_Toc468630834"/>
      <w:r w:rsidRPr="00BC2A51">
        <w:rPr>
          <w:i/>
        </w:rPr>
        <w:lastRenderedPageBreak/>
        <w:t xml:space="preserve">Chapter </w:t>
      </w:r>
      <w:r w:rsidR="00A00600">
        <w:rPr>
          <w:i/>
        </w:rPr>
        <w:t>III</w:t>
      </w:r>
      <w:r w:rsidR="0031685E" w:rsidRPr="00BC2A51">
        <w:rPr>
          <w:i/>
        </w:rPr>
        <w:t xml:space="preserve"> – </w:t>
      </w:r>
      <w:r w:rsidR="009D2221" w:rsidRPr="00BC2A51">
        <w:rPr>
          <w:i/>
        </w:rPr>
        <w:t>Athens and the Parthenon: The Origin of Identity</w:t>
      </w:r>
      <w:bookmarkEnd w:id="54"/>
    </w:p>
    <w:p w:rsidR="0031685E" w:rsidRPr="0031685E" w:rsidRDefault="0031685E" w:rsidP="005F43BB">
      <w:pPr>
        <w:spacing w:line="480" w:lineRule="auto"/>
        <w:contextualSpacing/>
        <w:rPr>
          <w:sz w:val="24"/>
        </w:rPr>
      </w:pPr>
    </w:p>
    <w:p w:rsidR="009D2221" w:rsidRDefault="00847C87" w:rsidP="005F43BB">
      <w:pPr>
        <w:spacing w:line="480" w:lineRule="auto"/>
        <w:contextualSpacing/>
        <w:rPr>
          <w:sz w:val="24"/>
        </w:rPr>
      </w:pPr>
      <w:r>
        <w:rPr>
          <w:sz w:val="24"/>
        </w:rPr>
        <w:tab/>
      </w:r>
      <w:r w:rsidR="00815EC7">
        <w:rPr>
          <w:sz w:val="24"/>
        </w:rPr>
        <w:t>When the Nashvillians thought about the Parthenon in the nineteenth century</w:t>
      </w:r>
      <w:r w:rsidR="00737720">
        <w:rPr>
          <w:sz w:val="24"/>
        </w:rPr>
        <w:t xml:space="preserve"> and decided to </w:t>
      </w:r>
      <w:r w:rsidR="00AC683D">
        <w:rPr>
          <w:sz w:val="24"/>
        </w:rPr>
        <w:t>readapt</w:t>
      </w:r>
      <w:r w:rsidR="00AE0E70">
        <w:rPr>
          <w:sz w:val="24"/>
        </w:rPr>
        <w:t xml:space="preserve"> the structure</w:t>
      </w:r>
      <w:r w:rsidR="00815EC7">
        <w:rPr>
          <w:sz w:val="24"/>
        </w:rPr>
        <w:t xml:space="preserve">, </w:t>
      </w:r>
      <w:r w:rsidR="00690C22">
        <w:rPr>
          <w:sz w:val="24"/>
        </w:rPr>
        <w:t>they would have known a si</w:t>
      </w:r>
      <w:r w:rsidR="00AE0E70">
        <w:rPr>
          <w:sz w:val="24"/>
        </w:rPr>
        <w:t>gnificant portion of its history</w:t>
      </w:r>
      <w:r w:rsidR="00690C22">
        <w:rPr>
          <w:sz w:val="24"/>
        </w:rPr>
        <w:t xml:space="preserve">. Yet despite the ancient uses </w:t>
      </w:r>
      <w:r w:rsidR="00AE0E70">
        <w:rPr>
          <w:sz w:val="24"/>
        </w:rPr>
        <w:t>of</w:t>
      </w:r>
      <w:r w:rsidR="00690C22">
        <w:rPr>
          <w:sz w:val="24"/>
        </w:rPr>
        <w:t xml:space="preserve"> the sacred space and how it transformed through the history of Athens, the </w:t>
      </w:r>
      <w:proofErr w:type="gramStart"/>
      <w:r w:rsidR="000D33D0">
        <w:rPr>
          <w:sz w:val="24"/>
        </w:rPr>
        <w:t>Nashvillians’</w:t>
      </w:r>
      <w:proofErr w:type="gramEnd"/>
      <w:r w:rsidR="000D33D0">
        <w:rPr>
          <w:sz w:val="24"/>
        </w:rPr>
        <w:t xml:space="preserve"> and the Western world’s </w:t>
      </w:r>
      <w:r w:rsidR="00690C22">
        <w:rPr>
          <w:sz w:val="24"/>
        </w:rPr>
        <w:t>romanticized view of the sacred ruins atop the high rock of the Akropolis</w:t>
      </w:r>
      <w:r w:rsidR="000D33D0">
        <w:rPr>
          <w:sz w:val="24"/>
        </w:rPr>
        <w:t xml:space="preserve"> persisted</w:t>
      </w:r>
      <w:r w:rsidR="00690C22">
        <w:rPr>
          <w:sz w:val="24"/>
        </w:rPr>
        <w:t xml:space="preserve">. </w:t>
      </w:r>
      <w:r w:rsidR="000D33D0">
        <w:rPr>
          <w:sz w:val="24"/>
        </w:rPr>
        <w:t xml:space="preserve">Extracting </w:t>
      </w:r>
      <w:r w:rsidR="00690C22">
        <w:rPr>
          <w:sz w:val="24"/>
        </w:rPr>
        <w:t>th</w:t>
      </w:r>
      <w:r w:rsidR="000D33D0">
        <w:rPr>
          <w:sz w:val="24"/>
        </w:rPr>
        <w:t>e uses and</w:t>
      </w:r>
      <w:r w:rsidR="00690C22">
        <w:rPr>
          <w:sz w:val="24"/>
        </w:rPr>
        <w:t xml:space="preserve"> history </w:t>
      </w:r>
      <w:r w:rsidR="000D33D0">
        <w:rPr>
          <w:sz w:val="24"/>
        </w:rPr>
        <w:t xml:space="preserve">of the sacred space </w:t>
      </w:r>
      <w:r w:rsidR="003523B0">
        <w:rPr>
          <w:sz w:val="24"/>
        </w:rPr>
        <w:t xml:space="preserve">that the Nashville elite </w:t>
      </w:r>
      <w:r w:rsidR="00E92AEC">
        <w:rPr>
          <w:sz w:val="24"/>
        </w:rPr>
        <w:t>knew</w:t>
      </w:r>
      <w:r w:rsidR="003523B0">
        <w:rPr>
          <w:sz w:val="24"/>
        </w:rPr>
        <w:t xml:space="preserve"> </w:t>
      </w:r>
      <w:r w:rsidR="000D33D0">
        <w:rPr>
          <w:sz w:val="24"/>
        </w:rPr>
        <w:t xml:space="preserve">shows </w:t>
      </w:r>
      <w:r w:rsidR="00690C22">
        <w:rPr>
          <w:sz w:val="24"/>
        </w:rPr>
        <w:t xml:space="preserve">the </w:t>
      </w:r>
      <w:r w:rsidR="003523B0">
        <w:rPr>
          <w:sz w:val="24"/>
        </w:rPr>
        <w:t xml:space="preserve">romantic </w:t>
      </w:r>
      <w:r w:rsidR="00690C22">
        <w:rPr>
          <w:sz w:val="24"/>
        </w:rPr>
        <w:t xml:space="preserve">implications of </w:t>
      </w:r>
      <w:r w:rsidR="007E7CAA">
        <w:rPr>
          <w:sz w:val="24"/>
        </w:rPr>
        <w:t xml:space="preserve">choosing the ancient image over any other identity or role the original sacred space symbolized and portrayed throughout </w:t>
      </w:r>
      <w:r w:rsidR="00B809EF">
        <w:rPr>
          <w:sz w:val="24"/>
        </w:rPr>
        <w:t>the history of Athens</w:t>
      </w:r>
      <w:r w:rsidR="007E7CAA">
        <w:rPr>
          <w:sz w:val="24"/>
        </w:rPr>
        <w:t xml:space="preserve">. </w:t>
      </w:r>
    </w:p>
    <w:p w:rsidR="00C71CDE" w:rsidRPr="00C71CDE" w:rsidRDefault="00C71CDE" w:rsidP="00FF3723">
      <w:pPr>
        <w:suppressLineNumbers/>
        <w:spacing w:line="480" w:lineRule="auto"/>
        <w:ind w:firstLine="720"/>
        <w:contextualSpacing/>
        <w:rPr>
          <w:rFonts w:cs="Times New Roman"/>
          <w:sz w:val="24"/>
          <w:szCs w:val="24"/>
        </w:rPr>
      </w:pPr>
      <w:r w:rsidRPr="00C71CDE">
        <w:rPr>
          <w:rFonts w:cs="Times New Roman"/>
          <w:sz w:val="24"/>
          <w:szCs w:val="24"/>
        </w:rPr>
        <w:t>The origin of the Parthenon has its roots in the early fifth century and t</w:t>
      </w:r>
      <w:r w:rsidR="004B2E4B">
        <w:rPr>
          <w:rFonts w:cs="Times New Roman"/>
          <w:sz w:val="24"/>
          <w:szCs w:val="24"/>
        </w:rPr>
        <w:t>he Persian Wars.</w:t>
      </w:r>
      <w:r w:rsidR="004B2E4B">
        <w:rPr>
          <w:rStyle w:val="FootnoteReference"/>
          <w:rFonts w:cs="Times New Roman"/>
          <w:sz w:val="24"/>
          <w:szCs w:val="24"/>
        </w:rPr>
        <w:footnoteReference w:id="59"/>
      </w:r>
      <w:r w:rsidR="004B2E4B">
        <w:rPr>
          <w:rFonts w:cs="Times New Roman"/>
          <w:sz w:val="24"/>
          <w:szCs w:val="24"/>
        </w:rPr>
        <w:t xml:space="preserve"> </w:t>
      </w:r>
      <w:r w:rsidRPr="00C71CDE">
        <w:rPr>
          <w:rFonts w:cs="Times New Roman"/>
          <w:sz w:val="24"/>
          <w:szCs w:val="24"/>
        </w:rPr>
        <w:t>Victory</w:t>
      </w:r>
      <w:r w:rsidR="00921270">
        <w:rPr>
          <w:rFonts w:cs="Times New Roman"/>
          <w:sz w:val="24"/>
          <w:szCs w:val="24"/>
        </w:rPr>
        <w:t xml:space="preserve"> over the Persians</w:t>
      </w:r>
      <w:r w:rsidRPr="00C71CDE">
        <w:rPr>
          <w:rFonts w:cs="Times New Roman"/>
          <w:sz w:val="24"/>
          <w:szCs w:val="24"/>
        </w:rPr>
        <w:t xml:space="preserve"> at </w:t>
      </w:r>
      <w:r w:rsidR="00E92AEC">
        <w:rPr>
          <w:rFonts w:cs="Times New Roman"/>
          <w:sz w:val="24"/>
          <w:szCs w:val="24"/>
        </w:rPr>
        <w:t xml:space="preserve">The Battle of Marathon </w:t>
      </w:r>
      <w:r w:rsidR="000674B5">
        <w:rPr>
          <w:rFonts w:cs="Times New Roman"/>
          <w:sz w:val="24"/>
          <w:szCs w:val="24"/>
        </w:rPr>
        <w:t>in 490</w:t>
      </w:r>
      <w:r w:rsidRPr="00C71CDE">
        <w:rPr>
          <w:rFonts w:cs="Times New Roman"/>
          <w:sz w:val="24"/>
          <w:szCs w:val="24"/>
        </w:rPr>
        <w:t xml:space="preserve"> sparked patriotism in Athens.</w:t>
      </w:r>
      <w:r w:rsidR="00100D50">
        <w:rPr>
          <w:rStyle w:val="FootnoteReference"/>
          <w:rFonts w:cs="Times New Roman"/>
          <w:sz w:val="24"/>
          <w:szCs w:val="24"/>
        </w:rPr>
        <w:footnoteReference w:id="60"/>
      </w:r>
      <w:r w:rsidRPr="00C71CDE">
        <w:rPr>
          <w:rFonts w:cs="Times New Roman"/>
          <w:sz w:val="24"/>
          <w:szCs w:val="24"/>
        </w:rPr>
        <w:t xml:space="preserve"> Had the tide of this battle turned, the entire Western tradition</w:t>
      </w:r>
      <w:r w:rsidR="001F050D">
        <w:rPr>
          <w:rFonts w:cs="Times New Roman"/>
          <w:sz w:val="24"/>
          <w:szCs w:val="24"/>
        </w:rPr>
        <w:t xml:space="preserve"> </w:t>
      </w:r>
      <w:r w:rsidRPr="00C71CDE">
        <w:rPr>
          <w:rFonts w:cs="Times New Roman"/>
          <w:sz w:val="24"/>
          <w:szCs w:val="24"/>
        </w:rPr>
        <w:t>would have been drastically different, diminishing the Greek’s influence upon modern Western culture. Celebrating their victory, the Greeks constructed temples for the gods. Some researchers assert th</w:t>
      </w:r>
      <w:r w:rsidR="00D30EB6">
        <w:rPr>
          <w:rFonts w:cs="Times New Roman"/>
          <w:sz w:val="24"/>
          <w:szCs w:val="24"/>
        </w:rPr>
        <w:t>at the temple planned for the Ak</w:t>
      </w:r>
      <w:r w:rsidRPr="00C71CDE">
        <w:rPr>
          <w:rFonts w:cs="Times New Roman"/>
          <w:sz w:val="24"/>
          <w:szCs w:val="24"/>
        </w:rPr>
        <w:t>ropolis was one of these temples. Most modern scholar</w:t>
      </w:r>
      <w:r w:rsidR="00D30EB6">
        <w:rPr>
          <w:rFonts w:cs="Times New Roman"/>
          <w:sz w:val="24"/>
          <w:szCs w:val="24"/>
        </w:rPr>
        <w:t>s and archeologists title the Ak</w:t>
      </w:r>
      <w:r w:rsidRPr="00C71CDE">
        <w:rPr>
          <w:rFonts w:cs="Times New Roman"/>
          <w:sz w:val="24"/>
          <w:szCs w:val="24"/>
        </w:rPr>
        <w:t xml:space="preserve">ropolis temple the “Pre-Parthenon” and the “Older Parthenon,” since it </w:t>
      </w:r>
      <w:proofErr w:type="gramStart"/>
      <w:r w:rsidRPr="00C71CDE">
        <w:rPr>
          <w:rFonts w:cs="Times New Roman"/>
          <w:sz w:val="24"/>
          <w:szCs w:val="24"/>
        </w:rPr>
        <w:t>was probably built</w:t>
      </w:r>
      <w:proofErr w:type="gramEnd"/>
      <w:r w:rsidRPr="00C71CDE">
        <w:rPr>
          <w:rFonts w:cs="Times New Roman"/>
          <w:sz w:val="24"/>
          <w:szCs w:val="24"/>
        </w:rPr>
        <w:t xml:space="preserve"> in appreciation to Athena for her protection and victory in defeating the Persians at Marathon. </w:t>
      </w:r>
    </w:p>
    <w:p w:rsidR="00C71CDE" w:rsidRPr="00C71CDE" w:rsidRDefault="00C71CDE" w:rsidP="00C71CDE">
      <w:pPr>
        <w:suppressLineNumbers/>
        <w:spacing w:line="480" w:lineRule="auto"/>
        <w:ind w:firstLine="720"/>
        <w:contextualSpacing/>
        <w:rPr>
          <w:rFonts w:cs="Times New Roman"/>
          <w:sz w:val="24"/>
          <w:szCs w:val="24"/>
        </w:rPr>
      </w:pPr>
      <w:r w:rsidRPr="00C71CDE">
        <w:rPr>
          <w:rFonts w:cs="Times New Roman"/>
          <w:sz w:val="24"/>
          <w:szCs w:val="24"/>
        </w:rPr>
        <w:lastRenderedPageBreak/>
        <w:t xml:space="preserve">Before construction was finished on the “Pre-Parthenon,” the Persians invaded once more in 480, aiming for the heart of Athens – </w:t>
      </w:r>
      <w:r w:rsidR="00D30EB6">
        <w:rPr>
          <w:rFonts w:cs="Times New Roman"/>
          <w:sz w:val="24"/>
          <w:szCs w:val="24"/>
        </w:rPr>
        <w:t>the Ak</w:t>
      </w:r>
      <w:r w:rsidRPr="00C71CDE">
        <w:rPr>
          <w:rFonts w:cs="Times New Roman"/>
          <w:sz w:val="24"/>
          <w:szCs w:val="24"/>
        </w:rPr>
        <w:t>ropolis. They destroyed the city and its sacred structures. Deserting the city, the</w:t>
      </w:r>
      <w:r w:rsidR="00D30EB6">
        <w:rPr>
          <w:rFonts w:cs="Times New Roman"/>
          <w:sz w:val="24"/>
          <w:szCs w:val="24"/>
        </w:rPr>
        <w:t xml:space="preserve"> Athenians vowed to leave the Ak</w:t>
      </w:r>
      <w:r w:rsidRPr="00C71CDE">
        <w:rPr>
          <w:rFonts w:cs="Times New Roman"/>
          <w:sz w:val="24"/>
          <w:szCs w:val="24"/>
        </w:rPr>
        <w:t>ropolis in ruins and the “Pre-Parthenon” unbuilt as a memorial for those Athenians who remained to defend and died in the siege. It should be taken into account that the “Hellenes had long followed a code by which the holy places of enemies were respected and spared during the war,”</w:t>
      </w:r>
      <w:r w:rsidR="00921270">
        <w:rPr>
          <w:rStyle w:val="FootnoteReference"/>
          <w:rFonts w:cs="Times New Roman"/>
          <w:sz w:val="24"/>
          <w:szCs w:val="24"/>
        </w:rPr>
        <w:footnoteReference w:id="61"/>
      </w:r>
      <w:r w:rsidRPr="00C71CDE">
        <w:rPr>
          <w:rFonts w:cs="Times New Roman"/>
          <w:sz w:val="24"/>
          <w:szCs w:val="24"/>
        </w:rPr>
        <w:t xml:space="preserve"> so the Greeks were thoroughly shocked at the Persians’ actions. In honor of those who sacrif</w:t>
      </w:r>
      <w:r w:rsidR="00D30EB6">
        <w:rPr>
          <w:rFonts w:cs="Times New Roman"/>
          <w:sz w:val="24"/>
          <w:szCs w:val="24"/>
        </w:rPr>
        <w:t>iced their li</w:t>
      </w:r>
      <w:r w:rsidR="008816E1">
        <w:rPr>
          <w:rFonts w:cs="Times New Roman"/>
          <w:sz w:val="24"/>
          <w:szCs w:val="24"/>
        </w:rPr>
        <w:t>ves</w:t>
      </w:r>
      <w:r w:rsidR="00D30EB6">
        <w:rPr>
          <w:rFonts w:cs="Times New Roman"/>
          <w:sz w:val="24"/>
          <w:szCs w:val="24"/>
        </w:rPr>
        <w:t xml:space="preserve"> defending the Ak</w:t>
      </w:r>
      <w:r w:rsidRPr="00C71CDE">
        <w:rPr>
          <w:rFonts w:cs="Times New Roman"/>
          <w:sz w:val="24"/>
          <w:szCs w:val="24"/>
        </w:rPr>
        <w:t>ropolis, they swore:</w:t>
      </w:r>
    </w:p>
    <w:p w:rsidR="00C71CDE" w:rsidRPr="00C71CDE" w:rsidRDefault="00C71CDE" w:rsidP="00C71CDE">
      <w:pPr>
        <w:suppressLineNumbers/>
        <w:spacing w:line="480" w:lineRule="auto"/>
        <w:ind w:left="720"/>
        <w:contextualSpacing/>
        <w:rPr>
          <w:rFonts w:cs="Times New Roman"/>
          <w:sz w:val="24"/>
          <w:szCs w:val="24"/>
        </w:rPr>
      </w:pPr>
      <w:proofErr w:type="gramStart"/>
      <w:r w:rsidRPr="00C71CDE">
        <w:rPr>
          <w:rFonts w:cs="Times New Roman"/>
          <w:sz w:val="24"/>
          <w:szCs w:val="24"/>
        </w:rPr>
        <w:t>[. . .] the famous oath said to have been sworn by the Greeks just before th</w:t>
      </w:r>
      <w:r w:rsidR="000674B5">
        <w:rPr>
          <w:rFonts w:cs="Times New Roman"/>
          <w:sz w:val="24"/>
          <w:szCs w:val="24"/>
        </w:rPr>
        <w:t>e Battle of Plataia in 479</w:t>
      </w:r>
      <w:r w:rsidRPr="00C71CDE">
        <w:rPr>
          <w:rFonts w:cs="Times New Roman"/>
          <w:sz w:val="24"/>
          <w:szCs w:val="24"/>
        </w:rPr>
        <w:t xml:space="preserve"> [that] included this line: “I will not rebuild a single one of the shrines that the barbarians have destroyed but will allow them to remain for future generations as a memorial of the barbarians’ impiety” [cited from Lykourgos’s </w:t>
      </w:r>
      <w:r w:rsidRPr="00C71CDE">
        <w:rPr>
          <w:rFonts w:cs="Times New Roman"/>
          <w:i/>
          <w:sz w:val="24"/>
          <w:szCs w:val="24"/>
        </w:rPr>
        <w:t>Against Leokrates</w:t>
      </w:r>
      <w:r w:rsidRPr="00C71CDE">
        <w:rPr>
          <w:rFonts w:cs="Times New Roman"/>
          <w:sz w:val="24"/>
          <w:szCs w:val="24"/>
        </w:rPr>
        <w:t>] [. . . .] its citation in both the literary and the epigraphic rec</w:t>
      </w:r>
      <w:r w:rsidR="00F05F28">
        <w:rPr>
          <w:rFonts w:cs="Times New Roman"/>
          <w:sz w:val="24"/>
          <w:szCs w:val="24"/>
        </w:rPr>
        <w:t>ords suggests that it was real.</w:t>
      </w:r>
      <w:r w:rsidR="00100D50">
        <w:rPr>
          <w:rStyle w:val="FootnoteReference"/>
          <w:rFonts w:cs="Times New Roman"/>
          <w:sz w:val="24"/>
          <w:szCs w:val="24"/>
        </w:rPr>
        <w:footnoteReference w:id="62"/>
      </w:r>
      <w:proofErr w:type="gramEnd"/>
    </w:p>
    <w:p w:rsidR="00C71CDE" w:rsidRPr="00C71CDE" w:rsidRDefault="00C71CDE" w:rsidP="00C71CDE">
      <w:pPr>
        <w:suppressLineNumbers/>
        <w:spacing w:line="480" w:lineRule="auto"/>
        <w:contextualSpacing/>
        <w:rPr>
          <w:rFonts w:cs="Times New Roman"/>
          <w:sz w:val="24"/>
          <w:szCs w:val="24"/>
        </w:rPr>
      </w:pPr>
      <w:r w:rsidRPr="00C71CDE">
        <w:rPr>
          <w:rFonts w:cs="Times New Roman"/>
          <w:sz w:val="24"/>
          <w:szCs w:val="24"/>
        </w:rPr>
        <w:t xml:space="preserve">Both the unfinished “Pre-Parthenon” and the oath taken after the Persian invasion become important to the history of the Parthenon. </w:t>
      </w:r>
    </w:p>
    <w:p w:rsidR="00C71CDE" w:rsidRPr="00C71CDE" w:rsidRDefault="00C71CDE" w:rsidP="00C71CDE">
      <w:pPr>
        <w:suppressLineNumbers/>
        <w:spacing w:line="480" w:lineRule="auto"/>
        <w:ind w:firstLine="720"/>
        <w:contextualSpacing/>
        <w:rPr>
          <w:rFonts w:cs="Times New Roman"/>
          <w:sz w:val="24"/>
          <w:szCs w:val="24"/>
        </w:rPr>
      </w:pPr>
      <w:r w:rsidRPr="00C71CDE">
        <w:rPr>
          <w:rFonts w:cs="Times New Roman"/>
          <w:sz w:val="24"/>
          <w:szCs w:val="24"/>
        </w:rPr>
        <w:t>With the newly formed Delian League and Athens as the head of the alliance due to their powerful navy, the poleis could donate money or ships to the war.</w:t>
      </w:r>
      <w:r w:rsidR="00100D50">
        <w:rPr>
          <w:rStyle w:val="FootnoteReference"/>
          <w:rFonts w:cs="Times New Roman"/>
          <w:sz w:val="24"/>
          <w:szCs w:val="24"/>
        </w:rPr>
        <w:footnoteReference w:id="63"/>
      </w:r>
      <w:r w:rsidRPr="00C71CDE">
        <w:rPr>
          <w:rFonts w:cs="Times New Roman"/>
          <w:sz w:val="24"/>
          <w:szCs w:val="24"/>
        </w:rPr>
        <w:t xml:space="preserve"> Most donated money that amounted in fortunes, setting the stage for the possibility of a new</w:t>
      </w:r>
      <w:r w:rsidR="00D30EB6">
        <w:rPr>
          <w:rFonts w:cs="Times New Roman"/>
          <w:sz w:val="24"/>
          <w:szCs w:val="24"/>
        </w:rPr>
        <w:t>ly built Ak</w:t>
      </w:r>
      <w:r w:rsidRPr="00C71CDE">
        <w:rPr>
          <w:rFonts w:cs="Times New Roman"/>
          <w:sz w:val="24"/>
          <w:szCs w:val="24"/>
        </w:rPr>
        <w:t>ropo</w:t>
      </w:r>
      <w:r w:rsidR="00F42A93">
        <w:rPr>
          <w:rFonts w:cs="Times New Roman"/>
          <w:sz w:val="24"/>
          <w:szCs w:val="24"/>
        </w:rPr>
        <w:t xml:space="preserve">lis, though this was not in anyone’s </w:t>
      </w:r>
      <w:r w:rsidRPr="00C71CDE">
        <w:rPr>
          <w:rFonts w:cs="Times New Roman"/>
          <w:sz w:val="24"/>
          <w:szCs w:val="24"/>
        </w:rPr>
        <w:t xml:space="preserve">agenda due to the </w:t>
      </w:r>
      <w:r w:rsidR="00360ACB">
        <w:rPr>
          <w:rFonts w:cs="Times New Roman"/>
          <w:sz w:val="24"/>
          <w:szCs w:val="24"/>
        </w:rPr>
        <w:t xml:space="preserve">ensuing </w:t>
      </w:r>
      <w:r w:rsidRPr="00C71CDE">
        <w:rPr>
          <w:rFonts w:cs="Times New Roman"/>
          <w:sz w:val="24"/>
          <w:szCs w:val="24"/>
        </w:rPr>
        <w:lastRenderedPageBreak/>
        <w:t xml:space="preserve">Persian War and their oath. With the rise of Perikles as </w:t>
      </w:r>
      <w:r w:rsidR="000674B5">
        <w:rPr>
          <w:rFonts w:cs="Times New Roman"/>
          <w:sz w:val="24"/>
          <w:szCs w:val="24"/>
        </w:rPr>
        <w:t>the political leader in 461</w:t>
      </w:r>
      <w:r w:rsidRPr="00C71CDE">
        <w:rPr>
          <w:rFonts w:cs="Times New Roman"/>
          <w:sz w:val="24"/>
          <w:szCs w:val="24"/>
        </w:rPr>
        <w:t>, Athens reached its height of the Golden Age of Greece, a “time when art, theatre, philosophy, and democracy flourished to a degree not seen be</w:t>
      </w:r>
      <w:r w:rsidR="00100D50">
        <w:rPr>
          <w:rFonts w:cs="Times New Roman"/>
          <w:sz w:val="24"/>
          <w:szCs w:val="24"/>
        </w:rPr>
        <w:t>fore and only rarely seen since</w:t>
      </w:r>
      <w:r w:rsidRPr="00C71CDE">
        <w:rPr>
          <w:rFonts w:cs="Times New Roman"/>
          <w:sz w:val="24"/>
          <w:szCs w:val="24"/>
        </w:rPr>
        <w:t>.</w:t>
      </w:r>
      <w:r w:rsidR="00100D50">
        <w:rPr>
          <w:rFonts w:cs="Times New Roman"/>
          <w:sz w:val="24"/>
          <w:szCs w:val="24"/>
        </w:rPr>
        <w:t>”</w:t>
      </w:r>
      <w:r w:rsidR="00100D50">
        <w:rPr>
          <w:rStyle w:val="FootnoteReference"/>
          <w:rFonts w:cs="Times New Roman"/>
          <w:sz w:val="24"/>
          <w:szCs w:val="24"/>
        </w:rPr>
        <w:footnoteReference w:id="64"/>
      </w:r>
      <w:r w:rsidRPr="00C71CDE">
        <w:rPr>
          <w:rFonts w:cs="Times New Roman"/>
          <w:sz w:val="24"/>
          <w:szCs w:val="24"/>
        </w:rPr>
        <w:t xml:space="preserve"> After another raid</w:t>
      </w:r>
      <w:r w:rsidR="000674B5">
        <w:rPr>
          <w:rFonts w:cs="Times New Roman"/>
          <w:sz w:val="24"/>
          <w:szCs w:val="24"/>
        </w:rPr>
        <w:t xml:space="preserve"> and defeat in Egypt in 455</w:t>
      </w:r>
      <w:r w:rsidRPr="00C71CDE">
        <w:rPr>
          <w:rFonts w:cs="Times New Roman"/>
          <w:sz w:val="24"/>
          <w:szCs w:val="24"/>
        </w:rPr>
        <w:t xml:space="preserve">, the tributes </w:t>
      </w:r>
      <w:proofErr w:type="gramStart"/>
      <w:r w:rsidRPr="00C71CDE">
        <w:rPr>
          <w:rFonts w:cs="Times New Roman"/>
          <w:sz w:val="24"/>
          <w:szCs w:val="24"/>
        </w:rPr>
        <w:t>were transferred</w:t>
      </w:r>
      <w:proofErr w:type="gramEnd"/>
      <w:r w:rsidRPr="00C71CDE">
        <w:rPr>
          <w:rFonts w:cs="Times New Roman"/>
          <w:sz w:val="24"/>
          <w:szCs w:val="24"/>
        </w:rPr>
        <w:t xml:space="preserve"> from their original loca</w:t>
      </w:r>
      <w:r w:rsidR="00D30EB6">
        <w:rPr>
          <w:rFonts w:cs="Times New Roman"/>
          <w:sz w:val="24"/>
          <w:szCs w:val="24"/>
        </w:rPr>
        <w:t>tion in Delos to the Ak</w:t>
      </w:r>
      <w:r w:rsidRPr="00C71CDE">
        <w:rPr>
          <w:rFonts w:cs="Times New Roman"/>
          <w:sz w:val="24"/>
          <w:szCs w:val="24"/>
        </w:rPr>
        <w:t>ropolis, causing Athens to flour</w:t>
      </w:r>
      <w:r w:rsidR="006945B5">
        <w:rPr>
          <w:rFonts w:cs="Times New Roman"/>
          <w:sz w:val="24"/>
          <w:szCs w:val="24"/>
        </w:rPr>
        <w:t xml:space="preserve">ish financially under Perikles’ </w:t>
      </w:r>
      <w:r w:rsidRPr="00C71CDE">
        <w:rPr>
          <w:rFonts w:cs="Times New Roman"/>
          <w:sz w:val="24"/>
          <w:szCs w:val="24"/>
        </w:rPr>
        <w:t xml:space="preserve">rule. </w:t>
      </w:r>
    </w:p>
    <w:p w:rsidR="005C6915" w:rsidRDefault="00C71CDE" w:rsidP="00C71CDE">
      <w:pPr>
        <w:suppressLineNumbers/>
        <w:spacing w:line="480" w:lineRule="auto"/>
        <w:ind w:firstLine="720"/>
        <w:contextualSpacing/>
        <w:rPr>
          <w:rFonts w:cs="Times New Roman"/>
          <w:sz w:val="24"/>
          <w:szCs w:val="24"/>
        </w:rPr>
      </w:pPr>
      <w:r w:rsidRPr="00C71CDE">
        <w:rPr>
          <w:rFonts w:cs="Times New Roman"/>
          <w:sz w:val="24"/>
          <w:szCs w:val="24"/>
        </w:rPr>
        <w:t>Sometime after this, the Delian League negotiated the Peace of Kallias with the Persians, ending the necessity for the League. With the treasury of the League in Athens and the war over, Perikles recommended the tributes be used to reconstruct temples and build various other structures</w:t>
      </w:r>
      <w:r w:rsidR="00D30EB6">
        <w:rPr>
          <w:rFonts w:cs="Times New Roman"/>
          <w:sz w:val="24"/>
          <w:szCs w:val="24"/>
        </w:rPr>
        <w:t>, especially on the Ak</w:t>
      </w:r>
      <w:r w:rsidRPr="00C71CDE">
        <w:rPr>
          <w:rFonts w:cs="Times New Roman"/>
          <w:sz w:val="24"/>
          <w:szCs w:val="24"/>
        </w:rPr>
        <w:t xml:space="preserve">ropolis, and the Plataian Vow be nullified. Perikles’ program </w:t>
      </w:r>
      <w:proofErr w:type="gramStart"/>
      <w:r w:rsidRPr="00C71CDE">
        <w:rPr>
          <w:rFonts w:cs="Times New Roman"/>
          <w:sz w:val="24"/>
          <w:szCs w:val="24"/>
        </w:rPr>
        <w:t>was not accepted</w:t>
      </w:r>
      <w:proofErr w:type="gramEnd"/>
      <w:r w:rsidRPr="00C71CDE">
        <w:rPr>
          <w:rFonts w:cs="Times New Roman"/>
          <w:sz w:val="24"/>
          <w:szCs w:val="24"/>
        </w:rPr>
        <w:t xml:space="preserve"> positively, however. Many Greek citizens saw the use of the Delian treasury for the funding of new embellishments in the city questionable.</w:t>
      </w:r>
      <w:r w:rsidR="00100D50">
        <w:rPr>
          <w:rStyle w:val="FootnoteReference"/>
          <w:rFonts w:cs="Times New Roman"/>
          <w:sz w:val="24"/>
          <w:szCs w:val="24"/>
        </w:rPr>
        <w:footnoteReference w:id="65"/>
      </w:r>
      <w:r w:rsidRPr="00C71CDE">
        <w:rPr>
          <w:rFonts w:cs="Times New Roman"/>
          <w:sz w:val="24"/>
          <w:szCs w:val="24"/>
        </w:rPr>
        <w:t xml:space="preserve"> Justifying the use of Athens’s money, Perikles countered that it </w:t>
      </w:r>
      <w:proofErr w:type="gramStart"/>
      <w:r w:rsidRPr="00C71CDE">
        <w:rPr>
          <w:rFonts w:cs="Times New Roman"/>
          <w:sz w:val="24"/>
          <w:szCs w:val="24"/>
        </w:rPr>
        <w:t>was given</w:t>
      </w:r>
      <w:proofErr w:type="gramEnd"/>
      <w:r w:rsidRPr="00C71CDE">
        <w:rPr>
          <w:rFonts w:cs="Times New Roman"/>
          <w:sz w:val="24"/>
          <w:szCs w:val="24"/>
        </w:rPr>
        <w:t xml:space="preserve"> as a means of defense from the war and was therefore a sacrifice from those contributing to Athens. He moved to fund such works that would “bring</w:t>
      </w:r>
      <w:r w:rsidR="00A0224F">
        <w:rPr>
          <w:rFonts w:cs="Times New Roman"/>
          <w:sz w:val="24"/>
          <w:szCs w:val="24"/>
        </w:rPr>
        <w:t xml:space="preserve"> her [Athens</w:t>
      </w:r>
      <w:r w:rsidR="009E2720">
        <w:rPr>
          <w:rFonts w:cs="Times New Roman"/>
          <w:sz w:val="24"/>
          <w:szCs w:val="24"/>
        </w:rPr>
        <w:t xml:space="preserve"> alone</w:t>
      </w:r>
      <w:r w:rsidR="00A0224F">
        <w:rPr>
          <w:rFonts w:cs="Times New Roman"/>
          <w:sz w:val="24"/>
          <w:szCs w:val="24"/>
        </w:rPr>
        <w:t>] everlasting glory</w:t>
      </w:r>
      <w:r w:rsidRPr="00C71CDE">
        <w:rPr>
          <w:rFonts w:cs="Times New Roman"/>
          <w:sz w:val="24"/>
          <w:szCs w:val="24"/>
        </w:rPr>
        <w:t>.</w:t>
      </w:r>
      <w:r w:rsidR="00A0224F">
        <w:rPr>
          <w:rFonts w:cs="Times New Roman"/>
          <w:sz w:val="24"/>
          <w:szCs w:val="24"/>
        </w:rPr>
        <w:t>”</w:t>
      </w:r>
      <w:r w:rsidR="00A0224F">
        <w:rPr>
          <w:rStyle w:val="FootnoteReference"/>
          <w:rFonts w:cs="Times New Roman"/>
          <w:sz w:val="24"/>
          <w:szCs w:val="24"/>
        </w:rPr>
        <w:footnoteReference w:id="66"/>
      </w:r>
      <w:r w:rsidRPr="00C71CDE">
        <w:rPr>
          <w:rFonts w:cs="Times New Roman"/>
          <w:sz w:val="24"/>
          <w:szCs w:val="24"/>
        </w:rPr>
        <w:t xml:space="preserve"> Thereafter, all such oppositions to his building program, such as his chief opponent Thucydides, </w:t>
      </w:r>
      <w:proofErr w:type="gramStart"/>
      <w:r w:rsidRPr="00C71CDE">
        <w:rPr>
          <w:rFonts w:cs="Times New Roman"/>
          <w:sz w:val="24"/>
          <w:szCs w:val="24"/>
        </w:rPr>
        <w:t>were ostracized</w:t>
      </w:r>
      <w:proofErr w:type="gramEnd"/>
      <w:r w:rsidRPr="00C71CDE">
        <w:rPr>
          <w:rFonts w:cs="Times New Roman"/>
          <w:sz w:val="24"/>
          <w:szCs w:val="24"/>
        </w:rPr>
        <w:t xml:space="preserve">. </w:t>
      </w:r>
      <w:r w:rsidR="00550EBD">
        <w:rPr>
          <w:rFonts w:cs="Times New Roman"/>
          <w:sz w:val="24"/>
          <w:szCs w:val="24"/>
        </w:rPr>
        <w:t>T</w:t>
      </w:r>
      <w:r w:rsidR="002836D9">
        <w:rPr>
          <w:rFonts w:cs="Times New Roman"/>
          <w:sz w:val="24"/>
          <w:szCs w:val="24"/>
        </w:rPr>
        <w:t>he goal of improving the city-state</w:t>
      </w:r>
      <w:r w:rsidR="00550EBD">
        <w:rPr>
          <w:rFonts w:cs="Times New Roman"/>
          <w:sz w:val="24"/>
          <w:szCs w:val="24"/>
        </w:rPr>
        <w:t>’s</w:t>
      </w:r>
      <w:r w:rsidR="002836D9">
        <w:rPr>
          <w:rFonts w:cs="Times New Roman"/>
          <w:sz w:val="24"/>
          <w:szCs w:val="24"/>
        </w:rPr>
        <w:t xml:space="preserve"> image </w:t>
      </w:r>
      <w:r w:rsidR="00A57513">
        <w:rPr>
          <w:rFonts w:cs="Times New Roman"/>
          <w:sz w:val="24"/>
          <w:szCs w:val="24"/>
        </w:rPr>
        <w:t xml:space="preserve">using these funds </w:t>
      </w:r>
      <w:r w:rsidR="00550EBD">
        <w:rPr>
          <w:rFonts w:cs="Times New Roman"/>
          <w:sz w:val="24"/>
          <w:szCs w:val="24"/>
        </w:rPr>
        <w:t>remained</w:t>
      </w:r>
      <w:r w:rsidR="002836D9">
        <w:rPr>
          <w:rFonts w:cs="Times New Roman"/>
          <w:sz w:val="24"/>
          <w:szCs w:val="24"/>
        </w:rPr>
        <w:t xml:space="preserve"> a constant </w:t>
      </w:r>
      <w:r w:rsidR="00550EBD">
        <w:rPr>
          <w:rFonts w:cs="Times New Roman"/>
          <w:sz w:val="24"/>
          <w:szCs w:val="24"/>
        </w:rPr>
        <w:t>in the entire building program</w:t>
      </w:r>
      <w:r w:rsidR="002836D9">
        <w:rPr>
          <w:rFonts w:cs="Times New Roman"/>
          <w:sz w:val="24"/>
          <w:szCs w:val="24"/>
        </w:rPr>
        <w:t xml:space="preserve">. </w:t>
      </w:r>
      <w:r w:rsidR="009E2720">
        <w:rPr>
          <w:rFonts w:cs="Times New Roman"/>
          <w:sz w:val="24"/>
          <w:szCs w:val="24"/>
        </w:rPr>
        <w:t>The Periklian building program also sought to rejuvenate the local economy</w:t>
      </w:r>
      <w:r w:rsidR="00A57513">
        <w:rPr>
          <w:rFonts w:cs="Times New Roman"/>
          <w:sz w:val="24"/>
          <w:szCs w:val="24"/>
        </w:rPr>
        <w:t xml:space="preserve"> with these funds</w:t>
      </w:r>
      <w:r w:rsidR="009E2720">
        <w:rPr>
          <w:rFonts w:cs="Times New Roman"/>
          <w:sz w:val="24"/>
          <w:szCs w:val="24"/>
        </w:rPr>
        <w:t xml:space="preserve">: </w:t>
      </w:r>
    </w:p>
    <w:p w:rsidR="00C71CDE" w:rsidRDefault="009E2720" w:rsidP="005C6915">
      <w:pPr>
        <w:suppressLineNumbers/>
        <w:spacing w:line="480" w:lineRule="auto"/>
        <w:ind w:left="1440"/>
        <w:contextualSpacing/>
        <w:rPr>
          <w:rFonts w:cs="Times New Roman"/>
          <w:sz w:val="24"/>
          <w:szCs w:val="24"/>
        </w:rPr>
      </w:pPr>
      <w:r>
        <w:rPr>
          <w:rFonts w:cs="Times New Roman"/>
          <w:sz w:val="24"/>
          <w:szCs w:val="24"/>
        </w:rPr>
        <w:lastRenderedPageBreak/>
        <w:t xml:space="preserve">and while in process of completion, </w:t>
      </w:r>
      <w:r w:rsidR="005C6915">
        <w:rPr>
          <w:rFonts w:cs="Times New Roman"/>
          <w:sz w:val="24"/>
          <w:szCs w:val="24"/>
        </w:rPr>
        <w:t>will bring that abundance into actual service, in that all sorts of activity and diversified demands arise, which rouse every art and stir every hand, and bring, as it were, the whole city under pay, so that she not only adorns, but supports herself as well from her own resources.</w:t>
      </w:r>
      <w:r w:rsidR="00313E4B">
        <w:rPr>
          <w:rStyle w:val="FootnoteReference"/>
          <w:rFonts w:cs="Times New Roman"/>
          <w:sz w:val="24"/>
          <w:szCs w:val="24"/>
        </w:rPr>
        <w:footnoteReference w:id="67"/>
      </w:r>
    </w:p>
    <w:p w:rsidR="00D162DD" w:rsidRPr="00C71CDE" w:rsidRDefault="00D162DD" w:rsidP="00D162DD">
      <w:pPr>
        <w:suppressLineNumbers/>
        <w:spacing w:line="480" w:lineRule="auto"/>
        <w:contextualSpacing/>
        <w:rPr>
          <w:rFonts w:cs="Times New Roman"/>
          <w:sz w:val="24"/>
          <w:szCs w:val="24"/>
        </w:rPr>
      </w:pPr>
      <w:r>
        <w:rPr>
          <w:rFonts w:cs="Times New Roman"/>
          <w:sz w:val="24"/>
          <w:szCs w:val="24"/>
        </w:rPr>
        <w:t>The powerful elite were behind the building program</w:t>
      </w:r>
      <w:r w:rsidR="00770524">
        <w:rPr>
          <w:rFonts w:cs="Times New Roman"/>
          <w:sz w:val="24"/>
          <w:szCs w:val="24"/>
        </w:rPr>
        <w:t>,</w:t>
      </w:r>
      <w:r>
        <w:rPr>
          <w:rFonts w:cs="Times New Roman"/>
          <w:sz w:val="24"/>
          <w:szCs w:val="24"/>
        </w:rPr>
        <w:t xml:space="preserve"> and the </w:t>
      </w:r>
      <w:r w:rsidR="00770524">
        <w:rPr>
          <w:rFonts w:cs="Times New Roman"/>
          <w:sz w:val="24"/>
          <w:szCs w:val="24"/>
        </w:rPr>
        <w:t xml:space="preserve">Athenian </w:t>
      </w:r>
      <w:r>
        <w:rPr>
          <w:rFonts w:cs="Times New Roman"/>
          <w:sz w:val="24"/>
          <w:szCs w:val="24"/>
        </w:rPr>
        <w:t xml:space="preserve">Parthenon was really a symbol of their own power and might as the </w:t>
      </w:r>
      <w:r w:rsidR="00770524">
        <w:rPr>
          <w:rFonts w:cs="Times New Roman"/>
          <w:sz w:val="24"/>
          <w:szCs w:val="24"/>
        </w:rPr>
        <w:t>aristocracy</w:t>
      </w:r>
      <w:r>
        <w:rPr>
          <w:rFonts w:cs="Times New Roman"/>
          <w:sz w:val="24"/>
          <w:szCs w:val="24"/>
        </w:rPr>
        <w:t xml:space="preserve">, with the harshest labor delegated to the slaves of the city. </w:t>
      </w:r>
      <w:proofErr w:type="gramStart"/>
      <w:r>
        <w:rPr>
          <w:rFonts w:cs="Times New Roman"/>
          <w:sz w:val="24"/>
          <w:szCs w:val="24"/>
        </w:rPr>
        <w:t>But</w:t>
      </w:r>
      <w:proofErr w:type="gramEnd"/>
      <w:r>
        <w:rPr>
          <w:rFonts w:cs="Times New Roman"/>
          <w:sz w:val="24"/>
          <w:szCs w:val="24"/>
        </w:rPr>
        <w:t xml:space="preserve"> for others who did not support the program or had no say, perhaps the Parthenon and the entire building program </w:t>
      </w:r>
      <w:r w:rsidR="004525A2">
        <w:rPr>
          <w:rFonts w:cs="Times New Roman"/>
          <w:sz w:val="24"/>
          <w:szCs w:val="24"/>
        </w:rPr>
        <w:t>was “a powerful symbol of their humiliation.”</w:t>
      </w:r>
      <w:r w:rsidR="004525A2">
        <w:rPr>
          <w:rStyle w:val="FootnoteReference"/>
          <w:rFonts w:cs="Times New Roman"/>
          <w:sz w:val="24"/>
          <w:szCs w:val="24"/>
        </w:rPr>
        <w:footnoteReference w:id="68"/>
      </w:r>
    </w:p>
    <w:p w:rsidR="00C71CDE" w:rsidRDefault="00C71CDE" w:rsidP="00C71CDE">
      <w:pPr>
        <w:suppressLineNumbers/>
        <w:spacing w:line="480" w:lineRule="auto"/>
        <w:ind w:firstLine="720"/>
        <w:contextualSpacing/>
        <w:rPr>
          <w:rFonts w:cs="Times New Roman"/>
          <w:sz w:val="24"/>
          <w:szCs w:val="24"/>
        </w:rPr>
      </w:pPr>
      <w:r w:rsidRPr="00C71CDE">
        <w:rPr>
          <w:rFonts w:cs="Times New Roman"/>
          <w:sz w:val="24"/>
          <w:szCs w:val="24"/>
        </w:rPr>
        <w:t>Once approved, the project began under the “general manager and general overseer” Pheidias.</w:t>
      </w:r>
      <w:r w:rsidR="00A0224F">
        <w:rPr>
          <w:rStyle w:val="FootnoteReference"/>
          <w:rFonts w:cs="Times New Roman"/>
          <w:sz w:val="24"/>
          <w:szCs w:val="24"/>
        </w:rPr>
        <w:footnoteReference w:id="69"/>
      </w:r>
      <w:r w:rsidRPr="00C71CDE">
        <w:rPr>
          <w:rFonts w:cs="Times New Roman"/>
          <w:sz w:val="24"/>
          <w:szCs w:val="24"/>
        </w:rPr>
        <w:t xml:space="preserve"> The Parthenon was actually one of</w:t>
      </w:r>
      <w:r w:rsidR="00681047">
        <w:rPr>
          <w:rFonts w:cs="Times New Roman"/>
          <w:sz w:val="24"/>
          <w:szCs w:val="24"/>
        </w:rPr>
        <w:t xml:space="preserve"> the first built in the program;</w:t>
      </w:r>
      <w:r w:rsidRPr="00C71CDE">
        <w:rPr>
          <w:rFonts w:cs="Times New Roman"/>
          <w:sz w:val="24"/>
          <w:szCs w:val="24"/>
        </w:rPr>
        <w:t xml:space="preserve"> </w:t>
      </w:r>
      <w:r w:rsidR="00D30EB6">
        <w:rPr>
          <w:rFonts w:cs="Times New Roman"/>
          <w:sz w:val="24"/>
          <w:szCs w:val="24"/>
        </w:rPr>
        <w:t>Athen</w:t>
      </w:r>
      <w:r w:rsidR="002725AA">
        <w:rPr>
          <w:rFonts w:cs="Times New Roman"/>
          <w:sz w:val="24"/>
          <w:szCs w:val="24"/>
        </w:rPr>
        <w:t>ian</w:t>
      </w:r>
      <w:r w:rsidR="00D30EB6">
        <w:rPr>
          <w:rFonts w:cs="Times New Roman"/>
          <w:sz w:val="24"/>
          <w:szCs w:val="24"/>
        </w:rPr>
        <w:t>s wish</w:t>
      </w:r>
      <w:r w:rsidR="00842F57">
        <w:rPr>
          <w:rFonts w:cs="Times New Roman"/>
          <w:sz w:val="24"/>
          <w:szCs w:val="24"/>
        </w:rPr>
        <w:t>ed</w:t>
      </w:r>
      <w:r w:rsidR="00D30EB6">
        <w:rPr>
          <w:rFonts w:cs="Times New Roman"/>
          <w:sz w:val="24"/>
          <w:szCs w:val="24"/>
        </w:rPr>
        <w:t xml:space="preserve"> to display their might, origin, and identity with the goddess Athena</w:t>
      </w:r>
      <w:r w:rsidR="00313E4B">
        <w:rPr>
          <w:rFonts w:cs="Times New Roman"/>
          <w:sz w:val="24"/>
          <w:szCs w:val="24"/>
        </w:rPr>
        <w:t xml:space="preserve"> while rejuvenating the city and economy</w:t>
      </w:r>
      <w:r w:rsidR="00842F57">
        <w:rPr>
          <w:rFonts w:cs="Times New Roman"/>
          <w:sz w:val="24"/>
          <w:szCs w:val="24"/>
        </w:rPr>
        <w:t xml:space="preserve"> with the Delian funds</w:t>
      </w:r>
      <w:r w:rsidR="00D30EB6">
        <w:rPr>
          <w:rFonts w:cs="Times New Roman"/>
          <w:sz w:val="24"/>
          <w:szCs w:val="24"/>
        </w:rPr>
        <w:t xml:space="preserve">. </w:t>
      </w:r>
      <w:r w:rsidRPr="00C71CDE">
        <w:rPr>
          <w:rFonts w:cs="Times New Roman"/>
          <w:sz w:val="24"/>
          <w:szCs w:val="24"/>
        </w:rPr>
        <w:t xml:space="preserve">Since the Parthenon was not only a house for Athens’s goddess Athena, </w:t>
      </w:r>
      <w:r w:rsidR="007D1CAC">
        <w:rPr>
          <w:rFonts w:cs="Times New Roman"/>
          <w:sz w:val="24"/>
          <w:szCs w:val="24"/>
        </w:rPr>
        <w:t xml:space="preserve">as </w:t>
      </w:r>
      <w:r w:rsidR="00681047">
        <w:rPr>
          <w:rFonts w:cs="Times New Roman"/>
          <w:sz w:val="24"/>
          <w:szCs w:val="24"/>
        </w:rPr>
        <w:t>it</w:t>
      </w:r>
      <w:r w:rsidRPr="00C71CDE">
        <w:rPr>
          <w:rFonts w:cs="Times New Roman"/>
          <w:sz w:val="24"/>
          <w:szCs w:val="24"/>
        </w:rPr>
        <w:t xml:space="preserve"> also doubled as a treasury for the</w:t>
      </w:r>
      <w:r w:rsidR="007D1CAC">
        <w:rPr>
          <w:rFonts w:cs="Times New Roman"/>
          <w:sz w:val="24"/>
          <w:szCs w:val="24"/>
        </w:rPr>
        <w:t xml:space="preserve">se Delian funds; therefore, </w:t>
      </w:r>
      <w:r w:rsidRPr="00C71CDE">
        <w:rPr>
          <w:rFonts w:cs="Times New Roman"/>
          <w:sz w:val="24"/>
          <w:szCs w:val="24"/>
        </w:rPr>
        <w:t xml:space="preserve">the </w:t>
      </w:r>
      <w:r w:rsidR="007D1CAC">
        <w:rPr>
          <w:rFonts w:cs="Times New Roman"/>
          <w:sz w:val="24"/>
          <w:szCs w:val="24"/>
        </w:rPr>
        <w:t>program’s</w:t>
      </w:r>
      <w:r w:rsidRPr="00C71CDE">
        <w:rPr>
          <w:rFonts w:cs="Times New Roman"/>
          <w:sz w:val="24"/>
          <w:szCs w:val="24"/>
        </w:rPr>
        <w:t xml:space="preserve"> completion </w:t>
      </w:r>
      <w:proofErr w:type="gramStart"/>
      <w:r w:rsidRPr="00C71CDE">
        <w:rPr>
          <w:rFonts w:cs="Times New Roman"/>
          <w:sz w:val="24"/>
          <w:szCs w:val="24"/>
        </w:rPr>
        <w:t>was thought</w:t>
      </w:r>
      <w:proofErr w:type="gramEnd"/>
      <w:r w:rsidRPr="00C71CDE">
        <w:rPr>
          <w:rFonts w:cs="Times New Roman"/>
          <w:sz w:val="24"/>
          <w:szCs w:val="24"/>
        </w:rPr>
        <w:t xml:space="preserve"> to take multiple generations. However, it </w:t>
      </w:r>
      <w:proofErr w:type="gramStart"/>
      <w:r w:rsidRPr="00C71CDE">
        <w:rPr>
          <w:rFonts w:cs="Times New Roman"/>
          <w:sz w:val="24"/>
          <w:szCs w:val="24"/>
        </w:rPr>
        <w:t>was completed</w:t>
      </w:r>
      <w:proofErr w:type="gramEnd"/>
      <w:r w:rsidRPr="00C71CDE">
        <w:rPr>
          <w:rFonts w:cs="Times New Roman"/>
          <w:sz w:val="24"/>
          <w:szCs w:val="24"/>
        </w:rPr>
        <w:t xml:space="preserve"> entirely under the rule of Perikles. The Parthenon, as well as the </w:t>
      </w:r>
      <w:r w:rsidRPr="009E6E94">
        <w:rPr>
          <w:rFonts w:cs="Times New Roman"/>
          <w:i/>
          <w:sz w:val="24"/>
          <w:szCs w:val="24"/>
        </w:rPr>
        <w:t>Nike</w:t>
      </w:r>
      <w:r w:rsidRPr="00C71CDE">
        <w:rPr>
          <w:rFonts w:cs="Times New Roman"/>
          <w:sz w:val="24"/>
          <w:szCs w:val="24"/>
        </w:rPr>
        <w:t xml:space="preserve"> temple, the Erechtheion, and the Propylaia</w:t>
      </w:r>
      <w:r w:rsidR="00D30EB6">
        <w:rPr>
          <w:rFonts w:cs="Times New Roman"/>
          <w:sz w:val="24"/>
          <w:szCs w:val="24"/>
        </w:rPr>
        <w:t xml:space="preserve"> on the Ak</w:t>
      </w:r>
      <w:r w:rsidRPr="00C71CDE">
        <w:rPr>
          <w:rFonts w:cs="Times New Roman"/>
          <w:sz w:val="24"/>
          <w:szCs w:val="24"/>
        </w:rPr>
        <w:t xml:space="preserve">ropolis, </w:t>
      </w:r>
      <w:proofErr w:type="gramStart"/>
      <w:r w:rsidRPr="00C71CDE">
        <w:rPr>
          <w:rFonts w:cs="Times New Roman"/>
          <w:sz w:val="24"/>
          <w:szCs w:val="24"/>
        </w:rPr>
        <w:t>was built</w:t>
      </w:r>
      <w:proofErr w:type="gramEnd"/>
      <w:r w:rsidRPr="00C71CDE">
        <w:rPr>
          <w:rFonts w:cs="Times New Roman"/>
          <w:sz w:val="24"/>
          <w:szCs w:val="24"/>
        </w:rPr>
        <w:t xml:space="preserve"> during the highest point in Athenian history with the means for the </w:t>
      </w:r>
      <w:r w:rsidRPr="00C71CDE">
        <w:rPr>
          <w:rFonts w:cs="Times New Roman"/>
          <w:sz w:val="24"/>
          <w:szCs w:val="24"/>
        </w:rPr>
        <w:lastRenderedPageBreak/>
        <w:t>best materials, contractors, and artistic skills</w:t>
      </w:r>
      <w:r w:rsidR="00A0224F">
        <w:rPr>
          <w:rFonts w:cs="Times New Roman"/>
          <w:sz w:val="24"/>
          <w:szCs w:val="24"/>
        </w:rPr>
        <w:t xml:space="preserve"> available</w:t>
      </w:r>
      <w:r w:rsidRPr="00C71CDE">
        <w:rPr>
          <w:rFonts w:cs="Times New Roman"/>
          <w:sz w:val="24"/>
          <w:szCs w:val="24"/>
        </w:rPr>
        <w:t>.</w:t>
      </w:r>
      <w:r w:rsidR="00A0224F">
        <w:rPr>
          <w:rStyle w:val="FootnoteReference"/>
          <w:rFonts w:cs="Times New Roman"/>
          <w:sz w:val="24"/>
          <w:szCs w:val="24"/>
        </w:rPr>
        <w:footnoteReference w:id="70"/>
      </w:r>
      <w:r w:rsidRPr="00C71CDE">
        <w:rPr>
          <w:rFonts w:cs="Times New Roman"/>
          <w:sz w:val="24"/>
          <w:szCs w:val="24"/>
        </w:rPr>
        <w:t xml:space="preserve"> Be</w:t>
      </w:r>
      <w:r w:rsidR="000674B5">
        <w:rPr>
          <w:rFonts w:cs="Times New Roman"/>
          <w:sz w:val="24"/>
          <w:szCs w:val="24"/>
        </w:rPr>
        <w:t>ginning construction in 447</w:t>
      </w:r>
      <w:r w:rsidRPr="00C71CDE">
        <w:rPr>
          <w:rFonts w:cs="Times New Roman"/>
          <w:sz w:val="24"/>
          <w:szCs w:val="24"/>
        </w:rPr>
        <w:t>, the Greeks dedicated the statue of Athena</w:t>
      </w:r>
      <w:r w:rsidR="00FD555C">
        <w:rPr>
          <w:rFonts w:cs="Times New Roman"/>
          <w:sz w:val="24"/>
          <w:szCs w:val="24"/>
        </w:rPr>
        <w:t xml:space="preserve"> in the Parthenon</w:t>
      </w:r>
      <w:r w:rsidRPr="00C71CDE">
        <w:rPr>
          <w:rFonts w:cs="Times New Roman"/>
          <w:sz w:val="24"/>
          <w:szCs w:val="24"/>
        </w:rPr>
        <w:t xml:space="preserve">, </w:t>
      </w:r>
      <w:r w:rsidR="00FD555C">
        <w:rPr>
          <w:rFonts w:cs="Times New Roman"/>
          <w:sz w:val="24"/>
          <w:szCs w:val="24"/>
        </w:rPr>
        <w:t xml:space="preserve">one of </w:t>
      </w:r>
      <w:r w:rsidRPr="00C71CDE">
        <w:rPr>
          <w:rFonts w:cs="Times New Roman"/>
          <w:sz w:val="24"/>
          <w:szCs w:val="24"/>
        </w:rPr>
        <w:t>Phi</w:t>
      </w:r>
      <w:r w:rsidR="000674B5">
        <w:rPr>
          <w:rFonts w:cs="Times New Roman"/>
          <w:sz w:val="24"/>
          <w:szCs w:val="24"/>
        </w:rPr>
        <w:t>edas’s masterpiece</w:t>
      </w:r>
      <w:r w:rsidR="00FD555C">
        <w:rPr>
          <w:rFonts w:cs="Times New Roman"/>
          <w:sz w:val="24"/>
          <w:szCs w:val="24"/>
        </w:rPr>
        <w:t>s</w:t>
      </w:r>
      <w:r w:rsidR="000674B5">
        <w:rPr>
          <w:rFonts w:cs="Times New Roman"/>
          <w:sz w:val="24"/>
          <w:szCs w:val="24"/>
        </w:rPr>
        <w:t xml:space="preserve">, in 438 </w:t>
      </w:r>
      <w:r w:rsidRPr="00C71CDE">
        <w:rPr>
          <w:rFonts w:cs="Times New Roman"/>
          <w:sz w:val="24"/>
          <w:szCs w:val="24"/>
        </w:rPr>
        <w:t>and completed the</w:t>
      </w:r>
      <w:r w:rsidR="00FD555C">
        <w:rPr>
          <w:rFonts w:cs="Times New Roman"/>
          <w:sz w:val="24"/>
          <w:szCs w:val="24"/>
        </w:rPr>
        <w:t xml:space="preserve"> remaining</w:t>
      </w:r>
      <w:r w:rsidRPr="00C71CDE">
        <w:rPr>
          <w:rFonts w:cs="Times New Roman"/>
          <w:sz w:val="24"/>
          <w:szCs w:val="24"/>
        </w:rPr>
        <w:t xml:space="preserve"> architect</w:t>
      </w:r>
      <w:r w:rsidR="000674B5">
        <w:rPr>
          <w:rFonts w:cs="Times New Roman"/>
          <w:sz w:val="24"/>
          <w:szCs w:val="24"/>
        </w:rPr>
        <w:t>ure around 433-432</w:t>
      </w:r>
      <w:r w:rsidRPr="00C71CDE">
        <w:rPr>
          <w:rFonts w:cs="Times New Roman"/>
          <w:sz w:val="24"/>
          <w:szCs w:val="24"/>
        </w:rPr>
        <w:t>.</w:t>
      </w:r>
      <w:r w:rsidRPr="00C71CDE">
        <w:rPr>
          <w:rStyle w:val="FootnoteReference"/>
          <w:rFonts w:cs="Times New Roman"/>
          <w:sz w:val="24"/>
          <w:szCs w:val="24"/>
        </w:rPr>
        <w:footnoteReference w:id="71"/>
      </w:r>
    </w:p>
    <w:p w:rsidR="00C33C7A" w:rsidRDefault="00AC4180" w:rsidP="00C33C7A">
      <w:pPr>
        <w:suppressLineNumbers/>
        <w:spacing w:line="480" w:lineRule="auto"/>
        <w:ind w:firstLine="720"/>
        <w:contextualSpacing/>
        <w:rPr>
          <w:rFonts w:cs="Times New Roman"/>
          <w:sz w:val="24"/>
          <w:szCs w:val="24"/>
        </w:rPr>
      </w:pPr>
      <w:r>
        <w:rPr>
          <w:rFonts w:cs="Times New Roman"/>
          <w:sz w:val="24"/>
          <w:szCs w:val="24"/>
        </w:rPr>
        <w:t>The Parthenon functioned as a sacr</w:t>
      </w:r>
      <w:r w:rsidR="00D139A3">
        <w:rPr>
          <w:rFonts w:cs="Times New Roman"/>
          <w:sz w:val="24"/>
          <w:szCs w:val="24"/>
        </w:rPr>
        <w:t>ed space for the goddess Athena</w:t>
      </w:r>
      <w:r w:rsidR="00473805">
        <w:rPr>
          <w:rFonts w:cs="Times New Roman"/>
          <w:sz w:val="24"/>
          <w:szCs w:val="24"/>
        </w:rPr>
        <w:t>, as well as the entire Ak</w:t>
      </w:r>
      <w:r w:rsidR="00207500">
        <w:rPr>
          <w:rFonts w:cs="Times New Roman"/>
          <w:sz w:val="24"/>
          <w:szCs w:val="24"/>
        </w:rPr>
        <w:t>ropolis</w:t>
      </w:r>
      <w:r w:rsidR="00732FF2">
        <w:rPr>
          <w:rFonts w:cs="Times New Roman"/>
          <w:sz w:val="24"/>
          <w:szCs w:val="24"/>
        </w:rPr>
        <w:t xml:space="preserve"> (See Figure 3-1 and 3-2)</w:t>
      </w:r>
      <w:r w:rsidR="00D139A3">
        <w:rPr>
          <w:rFonts w:cs="Times New Roman"/>
          <w:sz w:val="24"/>
          <w:szCs w:val="24"/>
        </w:rPr>
        <w:t>. B</w:t>
      </w:r>
      <w:r>
        <w:rPr>
          <w:rFonts w:cs="Times New Roman"/>
          <w:sz w:val="24"/>
          <w:szCs w:val="24"/>
        </w:rPr>
        <w:t>uilt as a</w:t>
      </w:r>
      <w:r w:rsidR="00207500">
        <w:rPr>
          <w:rFonts w:cs="Times New Roman"/>
          <w:sz w:val="24"/>
          <w:szCs w:val="24"/>
        </w:rPr>
        <w:t>n</w:t>
      </w:r>
      <w:r>
        <w:rPr>
          <w:rFonts w:cs="Times New Roman"/>
          <w:sz w:val="24"/>
          <w:szCs w:val="24"/>
        </w:rPr>
        <w:t xml:space="preserve"> </w:t>
      </w:r>
      <w:r w:rsidR="00207500">
        <w:rPr>
          <w:rFonts w:cs="Times New Roman"/>
          <w:sz w:val="24"/>
          <w:szCs w:val="24"/>
        </w:rPr>
        <w:t>act</w:t>
      </w:r>
      <w:r>
        <w:rPr>
          <w:rFonts w:cs="Times New Roman"/>
          <w:sz w:val="24"/>
          <w:szCs w:val="24"/>
        </w:rPr>
        <w:t xml:space="preserve"> of worship</w:t>
      </w:r>
      <w:r w:rsidR="00D139A3">
        <w:rPr>
          <w:rFonts w:cs="Times New Roman"/>
          <w:sz w:val="24"/>
          <w:szCs w:val="24"/>
        </w:rPr>
        <w:t xml:space="preserve"> up</w:t>
      </w:r>
      <w:r>
        <w:rPr>
          <w:rFonts w:cs="Times New Roman"/>
          <w:sz w:val="24"/>
          <w:szCs w:val="24"/>
        </w:rPr>
        <w:t>on</w:t>
      </w:r>
      <w:r w:rsidRPr="00AC4180">
        <w:rPr>
          <w:rFonts w:cs="Times New Roman"/>
          <w:sz w:val="24"/>
          <w:szCs w:val="24"/>
        </w:rPr>
        <w:t xml:space="preserve"> </w:t>
      </w:r>
      <w:r w:rsidR="00D139A3">
        <w:rPr>
          <w:rFonts w:cs="Times New Roman"/>
          <w:sz w:val="24"/>
          <w:szCs w:val="24"/>
        </w:rPr>
        <w:t xml:space="preserve">the Akropolis, </w:t>
      </w:r>
      <w:r w:rsidR="00207500">
        <w:rPr>
          <w:rFonts w:cs="Times New Roman"/>
          <w:sz w:val="24"/>
          <w:szCs w:val="24"/>
        </w:rPr>
        <w:t>these</w:t>
      </w:r>
      <w:r w:rsidR="00D139A3">
        <w:rPr>
          <w:rFonts w:cs="Times New Roman"/>
          <w:sz w:val="24"/>
          <w:szCs w:val="24"/>
        </w:rPr>
        <w:t xml:space="preserve"> structures </w:t>
      </w:r>
      <w:r w:rsidR="00207500">
        <w:rPr>
          <w:rFonts w:cs="Times New Roman"/>
          <w:sz w:val="24"/>
          <w:szCs w:val="24"/>
        </w:rPr>
        <w:t xml:space="preserve">symbolize </w:t>
      </w:r>
      <w:r w:rsidR="00D139A3">
        <w:rPr>
          <w:rFonts w:cs="Times New Roman"/>
          <w:sz w:val="24"/>
          <w:szCs w:val="24"/>
        </w:rPr>
        <w:t xml:space="preserve">the various </w:t>
      </w:r>
      <w:r>
        <w:rPr>
          <w:rFonts w:cs="Times New Roman"/>
          <w:sz w:val="24"/>
          <w:szCs w:val="24"/>
        </w:rPr>
        <w:t xml:space="preserve">cultural </w:t>
      </w:r>
      <w:r w:rsidR="00D139A3">
        <w:rPr>
          <w:rFonts w:cs="Times New Roman"/>
          <w:sz w:val="24"/>
          <w:szCs w:val="24"/>
        </w:rPr>
        <w:t>roles and identities</w:t>
      </w:r>
      <w:r>
        <w:rPr>
          <w:rFonts w:cs="Times New Roman"/>
          <w:sz w:val="24"/>
          <w:szCs w:val="24"/>
        </w:rPr>
        <w:t xml:space="preserve"> </w:t>
      </w:r>
      <w:r w:rsidR="00D139A3">
        <w:rPr>
          <w:rFonts w:cs="Times New Roman"/>
          <w:sz w:val="24"/>
          <w:szCs w:val="24"/>
        </w:rPr>
        <w:t>associated with Athena</w:t>
      </w:r>
      <w:r w:rsidR="00207500">
        <w:rPr>
          <w:rFonts w:cs="Times New Roman"/>
          <w:sz w:val="24"/>
          <w:szCs w:val="24"/>
        </w:rPr>
        <w:t xml:space="preserve"> – cultural meaning that </w:t>
      </w:r>
      <w:r w:rsidR="00D139A3">
        <w:rPr>
          <w:rFonts w:cs="Times New Roman"/>
          <w:sz w:val="24"/>
          <w:szCs w:val="24"/>
        </w:rPr>
        <w:t>surface</w:t>
      </w:r>
      <w:r w:rsidR="00207500">
        <w:rPr>
          <w:rFonts w:cs="Times New Roman"/>
          <w:sz w:val="24"/>
          <w:szCs w:val="24"/>
        </w:rPr>
        <w:t>s</w:t>
      </w:r>
      <w:r w:rsidR="00D139A3">
        <w:rPr>
          <w:rFonts w:cs="Times New Roman"/>
          <w:sz w:val="24"/>
          <w:szCs w:val="24"/>
        </w:rPr>
        <w:t xml:space="preserve"> from the</w:t>
      </w:r>
      <w:r w:rsidR="00207500">
        <w:rPr>
          <w:rFonts w:cs="Times New Roman"/>
          <w:sz w:val="24"/>
          <w:szCs w:val="24"/>
        </w:rPr>
        <w:t>ir</w:t>
      </w:r>
      <w:r w:rsidR="00D139A3">
        <w:rPr>
          <w:rFonts w:cs="Times New Roman"/>
          <w:sz w:val="24"/>
          <w:szCs w:val="24"/>
        </w:rPr>
        <w:t xml:space="preserve"> marble façades</w:t>
      </w:r>
      <w:r w:rsidR="003F61E5">
        <w:rPr>
          <w:rFonts w:cs="Times New Roman"/>
          <w:sz w:val="24"/>
          <w:szCs w:val="24"/>
        </w:rPr>
        <w:t xml:space="preserve"> and adornments</w:t>
      </w:r>
      <w:r w:rsidR="00D139A3">
        <w:rPr>
          <w:rFonts w:cs="Times New Roman"/>
          <w:sz w:val="24"/>
          <w:szCs w:val="24"/>
        </w:rPr>
        <w:t xml:space="preserve">. </w:t>
      </w:r>
      <w:r>
        <w:rPr>
          <w:rFonts w:cs="Times New Roman"/>
          <w:sz w:val="24"/>
          <w:szCs w:val="24"/>
        </w:rPr>
        <w:t xml:space="preserve">By no means is the Parthenon </w:t>
      </w:r>
      <w:r w:rsidR="002860F9">
        <w:rPr>
          <w:rFonts w:cs="Times New Roman"/>
          <w:sz w:val="24"/>
          <w:szCs w:val="24"/>
        </w:rPr>
        <w:t xml:space="preserve">alone </w:t>
      </w:r>
      <w:r>
        <w:rPr>
          <w:rFonts w:cs="Times New Roman"/>
          <w:sz w:val="24"/>
          <w:szCs w:val="24"/>
        </w:rPr>
        <w:t>the sheer focus of the Akropolis,</w:t>
      </w:r>
      <w:r w:rsidRPr="00AC4180">
        <w:rPr>
          <w:rFonts w:cs="Times New Roman"/>
          <w:sz w:val="24"/>
          <w:szCs w:val="24"/>
        </w:rPr>
        <w:t xml:space="preserve"> </w:t>
      </w:r>
      <w:r>
        <w:rPr>
          <w:rFonts w:cs="Times New Roman"/>
          <w:sz w:val="24"/>
          <w:szCs w:val="24"/>
        </w:rPr>
        <w:t>though it might</w:t>
      </w:r>
      <w:r w:rsidR="00C33C7A" w:rsidRPr="00C33C7A">
        <w:rPr>
          <w:rFonts w:cs="Times New Roman"/>
          <w:sz w:val="24"/>
          <w:szCs w:val="24"/>
        </w:rPr>
        <w:t xml:space="preserve"> </w:t>
      </w:r>
      <w:r w:rsidR="00C33C7A">
        <w:rPr>
          <w:rFonts w:cs="Times New Roman"/>
          <w:sz w:val="24"/>
          <w:szCs w:val="24"/>
        </w:rPr>
        <w:t xml:space="preserve">be one of the </w:t>
      </w:r>
      <w:r w:rsidR="002860F9">
        <w:rPr>
          <w:rFonts w:cs="Times New Roman"/>
          <w:sz w:val="24"/>
          <w:szCs w:val="24"/>
        </w:rPr>
        <w:t>imposing examples</w:t>
      </w:r>
      <w:r w:rsidR="00C33C7A">
        <w:rPr>
          <w:rFonts w:cs="Times New Roman"/>
          <w:sz w:val="24"/>
          <w:szCs w:val="24"/>
        </w:rPr>
        <w:t xml:space="preserve"> of </w:t>
      </w:r>
      <w:r w:rsidR="002860F9">
        <w:rPr>
          <w:rFonts w:cs="Times New Roman"/>
          <w:sz w:val="24"/>
          <w:szCs w:val="24"/>
        </w:rPr>
        <w:t xml:space="preserve">Greek </w:t>
      </w:r>
      <w:r w:rsidR="00C33C7A">
        <w:rPr>
          <w:rFonts w:cs="Times New Roman"/>
          <w:sz w:val="24"/>
          <w:szCs w:val="24"/>
        </w:rPr>
        <w:t xml:space="preserve">architecture. To consider the Parthenon as a stand-alone structure and to dismiss the other sacred spaces within the presentation of identity on the Akropolis is folly. </w:t>
      </w:r>
    </w:p>
    <w:p w:rsidR="00C33C7A" w:rsidRDefault="00C33C7A" w:rsidP="00C33C7A">
      <w:pPr>
        <w:suppressLineNumbers/>
        <w:spacing w:line="480" w:lineRule="auto"/>
        <w:ind w:firstLine="720"/>
        <w:contextualSpacing/>
        <w:rPr>
          <w:rFonts w:cs="Times New Roman"/>
          <w:sz w:val="24"/>
          <w:szCs w:val="24"/>
        </w:rPr>
      </w:pPr>
      <w:r>
        <w:rPr>
          <w:rFonts w:cs="Times New Roman"/>
          <w:sz w:val="24"/>
          <w:szCs w:val="24"/>
        </w:rPr>
        <w:t>When an ancient worshipper approach</w:t>
      </w:r>
      <w:r w:rsidR="00FB1722">
        <w:rPr>
          <w:rFonts w:cs="Times New Roman"/>
          <w:sz w:val="24"/>
          <w:szCs w:val="24"/>
        </w:rPr>
        <w:t>ed</w:t>
      </w:r>
      <w:r>
        <w:rPr>
          <w:rFonts w:cs="Times New Roman"/>
          <w:sz w:val="24"/>
          <w:szCs w:val="24"/>
        </w:rPr>
        <w:t xml:space="preserve"> the Akropolis and ascend</w:t>
      </w:r>
      <w:r w:rsidR="00FB1722">
        <w:rPr>
          <w:rFonts w:cs="Times New Roman"/>
          <w:sz w:val="24"/>
          <w:szCs w:val="24"/>
        </w:rPr>
        <w:t>ed</w:t>
      </w:r>
      <w:r>
        <w:rPr>
          <w:rFonts w:cs="Times New Roman"/>
          <w:sz w:val="24"/>
          <w:szCs w:val="24"/>
        </w:rPr>
        <w:t xml:space="preserve"> the steps into the sacred space </w:t>
      </w:r>
      <w:r w:rsidR="006E5464">
        <w:rPr>
          <w:rFonts w:cs="Times New Roman"/>
          <w:sz w:val="24"/>
          <w:szCs w:val="24"/>
        </w:rPr>
        <w:t>dedicated to</w:t>
      </w:r>
      <w:r>
        <w:rPr>
          <w:rFonts w:cs="Times New Roman"/>
          <w:sz w:val="24"/>
          <w:szCs w:val="24"/>
        </w:rPr>
        <w:t xml:space="preserve"> Athena, the first thing </w:t>
      </w:r>
      <w:r w:rsidR="006E5464">
        <w:rPr>
          <w:rFonts w:cs="Times New Roman"/>
          <w:sz w:val="24"/>
          <w:szCs w:val="24"/>
        </w:rPr>
        <w:t>that worshipper notices</w:t>
      </w:r>
      <w:r>
        <w:rPr>
          <w:rFonts w:cs="Times New Roman"/>
          <w:sz w:val="24"/>
          <w:szCs w:val="24"/>
        </w:rPr>
        <w:t xml:space="preserve"> </w:t>
      </w:r>
      <w:r w:rsidR="006E5464">
        <w:rPr>
          <w:rFonts w:cs="Times New Roman"/>
          <w:sz w:val="24"/>
          <w:szCs w:val="24"/>
        </w:rPr>
        <w:t>is</w:t>
      </w:r>
      <w:r>
        <w:rPr>
          <w:rFonts w:cs="Times New Roman"/>
          <w:sz w:val="24"/>
          <w:szCs w:val="24"/>
        </w:rPr>
        <w:t xml:space="preserve"> the sacred, small temple of Athena </w:t>
      </w:r>
      <w:r w:rsidRPr="009E6E94">
        <w:rPr>
          <w:rFonts w:cs="Times New Roman"/>
          <w:i/>
          <w:sz w:val="24"/>
          <w:szCs w:val="24"/>
        </w:rPr>
        <w:t>Nike</w:t>
      </w:r>
      <w:r w:rsidR="00732FF2">
        <w:rPr>
          <w:rFonts w:cs="Times New Roman"/>
          <w:sz w:val="24"/>
          <w:szCs w:val="24"/>
        </w:rPr>
        <w:t xml:space="preserve"> (See Figure 3-3)</w:t>
      </w:r>
      <w:r>
        <w:rPr>
          <w:rFonts w:cs="Times New Roman"/>
          <w:sz w:val="24"/>
          <w:szCs w:val="24"/>
        </w:rPr>
        <w:t>.</w:t>
      </w:r>
      <w:r>
        <w:rPr>
          <w:rStyle w:val="FootnoteReference"/>
          <w:rFonts w:cs="Times New Roman"/>
          <w:sz w:val="24"/>
          <w:szCs w:val="24"/>
        </w:rPr>
        <w:footnoteReference w:id="72"/>
      </w:r>
      <w:r>
        <w:rPr>
          <w:rFonts w:cs="Times New Roman"/>
          <w:sz w:val="24"/>
          <w:szCs w:val="24"/>
        </w:rPr>
        <w:t xml:space="preserve"> This structure was the last in the building program, but was the first to remind Athenians </w:t>
      </w:r>
      <w:r w:rsidR="006E5464">
        <w:rPr>
          <w:rFonts w:cs="Times New Roman"/>
          <w:sz w:val="24"/>
          <w:szCs w:val="24"/>
        </w:rPr>
        <w:t xml:space="preserve">of </w:t>
      </w:r>
      <w:r>
        <w:rPr>
          <w:rFonts w:cs="Times New Roman"/>
          <w:sz w:val="24"/>
          <w:szCs w:val="24"/>
        </w:rPr>
        <w:t xml:space="preserve">what the Akropolis </w:t>
      </w:r>
      <w:r w:rsidR="006E5464">
        <w:rPr>
          <w:rFonts w:cs="Times New Roman"/>
          <w:sz w:val="24"/>
          <w:szCs w:val="24"/>
        </w:rPr>
        <w:t>represented</w:t>
      </w:r>
      <w:r w:rsidR="00311614">
        <w:rPr>
          <w:rFonts w:cs="Times New Roman"/>
          <w:sz w:val="24"/>
          <w:szCs w:val="24"/>
        </w:rPr>
        <w:t xml:space="preserve">, as it </w:t>
      </w:r>
      <w:proofErr w:type="gramStart"/>
      <w:r w:rsidR="00311614">
        <w:rPr>
          <w:rFonts w:cs="Times New Roman"/>
          <w:sz w:val="24"/>
          <w:szCs w:val="24"/>
        </w:rPr>
        <w:t>is</w:t>
      </w:r>
      <w:r w:rsidR="00311614" w:rsidRPr="00311614">
        <w:rPr>
          <w:rFonts w:cs="Times New Roman"/>
          <w:sz w:val="24"/>
          <w:szCs w:val="24"/>
        </w:rPr>
        <w:t xml:space="preserve"> </w:t>
      </w:r>
      <w:r w:rsidR="00311614">
        <w:rPr>
          <w:rFonts w:cs="Times New Roman"/>
          <w:sz w:val="24"/>
          <w:szCs w:val="24"/>
        </w:rPr>
        <w:t>placed</w:t>
      </w:r>
      <w:proofErr w:type="gramEnd"/>
      <w:r w:rsidR="00311614">
        <w:rPr>
          <w:rFonts w:cs="Times New Roman"/>
          <w:sz w:val="24"/>
          <w:szCs w:val="24"/>
        </w:rPr>
        <w:t xml:space="preserve"> on the old Mycenaean Defensive Bastion for the Akropolis</w:t>
      </w:r>
      <w:r>
        <w:rPr>
          <w:rFonts w:cs="Times New Roman"/>
          <w:sz w:val="24"/>
          <w:szCs w:val="24"/>
        </w:rPr>
        <w:t>. This small Ionic temple display</w:t>
      </w:r>
      <w:r w:rsidR="006E5464">
        <w:rPr>
          <w:rFonts w:cs="Times New Roman"/>
          <w:sz w:val="24"/>
          <w:szCs w:val="24"/>
        </w:rPr>
        <w:t>ed</w:t>
      </w:r>
      <w:r>
        <w:rPr>
          <w:rFonts w:cs="Times New Roman"/>
          <w:sz w:val="24"/>
          <w:szCs w:val="24"/>
        </w:rPr>
        <w:t xml:space="preserve"> sculpture </w:t>
      </w:r>
      <w:r w:rsidR="006E5464">
        <w:rPr>
          <w:rFonts w:cs="Times New Roman"/>
          <w:sz w:val="24"/>
          <w:szCs w:val="24"/>
        </w:rPr>
        <w:t>to</w:t>
      </w:r>
      <w:r>
        <w:rPr>
          <w:rFonts w:cs="Times New Roman"/>
          <w:sz w:val="24"/>
          <w:szCs w:val="24"/>
        </w:rPr>
        <w:t xml:space="preserve"> Athenians </w:t>
      </w:r>
      <w:r w:rsidR="006E5464">
        <w:rPr>
          <w:rFonts w:cs="Times New Roman"/>
          <w:sz w:val="24"/>
          <w:szCs w:val="24"/>
        </w:rPr>
        <w:t>celebrating</w:t>
      </w:r>
      <w:r>
        <w:rPr>
          <w:rFonts w:cs="Times New Roman"/>
          <w:sz w:val="24"/>
          <w:szCs w:val="24"/>
        </w:rPr>
        <w:t xml:space="preserve"> </w:t>
      </w:r>
      <w:r w:rsidR="00311614">
        <w:rPr>
          <w:rFonts w:cs="Times New Roman"/>
          <w:sz w:val="24"/>
          <w:szCs w:val="24"/>
        </w:rPr>
        <w:t>victory in battle</w:t>
      </w:r>
      <w:r>
        <w:rPr>
          <w:rFonts w:cs="Times New Roman"/>
          <w:sz w:val="24"/>
          <w:szCs w:val="24"/>
        </w:rPr>
        <w:t xml:space="preserve">. One identity of the goddess celebrated in their sacred space was Athena </w:t>
      </w:r>
      <w:r w:rsidR="00311614" w:rsidRPr="00311614">
        <w:rPr>
          <w:rFonts w:cs="Times New Roman"/>
          <w:i/>
          <w:sz w:val="24"/>
          <w:szCs w:val="24"/>
        </w:rPr>
        <w:t>Nike</w:t>
      </w:r>
      <w:r w:rsidR="00311614">
        <w:rPr>
          <w:rFonts w:cs="Times New Roman"/>
          <w:sz w:val="24"/>
          <w:szCs w:val="24"/>
        </w:rPr>
        <w:t xml:space="preserve"> – </w:t>
      </w:r>
      <w:r>
        <w:rPr>
          <w:rFonts w:cs="Times New Roman"/>
          <w:sz w:val="24"/>
          <w:szCs w:val="24"/>
        </w:rPr>
        <w:t xml:space="preserve">the Victory Goddess. </w:t>
      </w:r>
    </w:p>
    <w:p w:rsidR="00F96CEF" w:rsidRDefault="00C33C7A" w:rsidP="00F96CEF">
      <w:pPr>
        <w:suppressLineNumbers/>
        <w:spacing w:line="480" w:lineRule="auto"/>
        <w:contextualSpacing/>
        <w:rPr>
          <w:rFonts w:cs="Times New Roman"/>
          <w:sz w:val="24"/>
          <w:szCs w:val="24"/>
        </w:rPr>
      </w:pPr>
      <w:r>
        <w:rPr>
          <w:rFonts w:cs="Times New Roman"/>
          <w:sz w:val="24"/>
          <w:szCs w:val="24"/>
        </w:rPr>
        <w:lastRenderedPageBreak/>
        <w:t>The Doric portal into the sacred space is the destination of the extensive steps that prepare</w:t>
      </w:r>
      <w:r w:rsidR="009D2629">
        <w:rPr>
          <w:rFonts w:cs="Times New Roman"/>
          <w:sz w:val="24"/>
          <w:szCs w:val="24"/>
        </w:rPr>
        <w:t>d</w:t>
      </w:r>
      <w:r>
        <w:rPr>
          <w:rFonts w:cs="Times New Roman"/>
          <w:sz w:val="24"/>
          <w:szCs w:val="24"/>
        </w:rPr>
        <w:t xml:space="preserve"> the worshipper for the sacred site beyond. The Propylaia </w:t>
      </w:r>
      <w:r w:rsidR="00732FF2">
        <w:rPr>
          <w:rFonts w:cs="Times New Roman"/>
          <w:sz w:val="24"/>
          <w:szCs w:val="24"/>
        </w:rPr>
        <w:t xml:space="preserve">(See Figure 3-4) </w:t>
      </w:r>
      <w:r>
        <w:rPr>
          <w:rFonts w:cs="Times New Roman"/>
          <w:sz w:val="24"/>
          <w:szCs w:val="24"/>
        </w:rPr>
        <w:t xml:space="preserve">creates </w:t>
      </w:r>
      <w:r w:rsidR="009562F5">
        <w:rPr>
          <w:rFonts w:cs="Times New Roman"/>
          <w:sz w:val="24"/>
          <w:szCs w:val="24"/>
        </w:rPr>
        <w:t>a</w:t>
      </w:r>
      <w:r>
        <w:rPr>
          <w:rFonts w:cs="Times New Roman"/>
          <w:sz w:val="24"/>
          <w:szCs w:val="24"/>
        </w:rPr>
        <w:t xml:space="preserve"> doorway by which the ancient Athenian would have entered the heavenly city above. There they would have experienced a large bronze statue of Athena. Here she would have been probably around </w:t>
      </w:r>
      <w:r w:rsidR="00D54831">
        <w:rPr>
          <w:rFonts w:cs="Times New Roman"/>
          <w:sz w:val="24"/>
          <w:szCs w:val="24"/>
        </w:rPr>
        <w:t>30</w:t>
      </w:r>
      <w:r>
        <w:rPr>
          <w:rFonts w:cs="Times New Roman"/>
          <w:sz w:val="24"/>
          <w:szCs w:val="24"/>
        </w:rPr>
        <w:t xml:space="preserve"> to </w:t>
      </w:r>
      <w:r w:rsidR="00D54831">
        <w:rPr>
          <w:rFonts w:cs="Times New Roman"/>
          <w:sz w:val="24"/>
          <w:szCs w:val="24"/>
        </w:rPr>
        <w:t xml:space="preserve">50 </w:t>
      </w:r>
      <w:r>
        <w:rPr>
          <w:rFonts w:cs="Times New Roman"/>
          <w:sz w:val="24"/>
          <w:szCs w:val="24"/>
        </w:rPr>
        <w:t xml:space="preserve">feet tall with a base approximately </w:t>
      </w:r>
      <w:r w:rsidR="00D54831">
        <w:rPr>
          <w:rFonts w:cs="Times New Roman"/>
          <w:sz w:val="24"/>
          <w:szCs w:val="24"/>
        </w:rPr>
        <w:t>18</w:t>
      </w:r>
      <w:r>
        <w:rPr>
          <w:rFonts w:cs="Times New Roman"/>
          <w:sz w:val="24"/>
          <w:szCs w:val="24"/>
        </w:rPr>
        <w:t xml:space="preserve"> feet square.</w:t>
      </w:r>
      <w:r>
        <w:rPr>
          <w:rStyle w:val="FootnoteReference"/>
          <w:rFonts w:cs="Times New Roman"/>
          <w:sz w:val="24"/>
          <w:szCs w:val="24"/>
        </w:rPr>
        <w:footnoteReference w:id="73"/>
      </w:r>
      <w:r>
        <w:rPr>
          <w:rFonts w:cs="Times New Roman"/>
          <w:sz w:val="24"/>
          <w:szCs w:val="24"/>
        </w:rPr>
        <w:t xml:space="preserve"> This Athena looked out over </w:t>
      </w:r>
      <w:r w:rsidR="00F96CEF">
        <w:rPr>
          <w:rFonts w:cs="Times New Roman"/>
          <w:sz w:val="24"/>
          <w:szCs w:val="24"/>
        </w:rPr>
        <w:t>the Akropolis</w:t>
      </w:r>
      <w:r w:rsidR="00F96CEF" w:rsidRPr="00807B1E">
        <w:rPr>
          <w:rFonts w:cs="Times New Roman"/>
          <w:sz w:val="24"/>
          <w:szCs w:val="24"/>
        </w:rPr>
        <w:t xml:space="preserve"> </w:t>
      </w:r>
      <w:r w:rsidR="00B779C7">
        <w:rPr>
          <w:rFonts w:cs="Times New Roman"/>
          <w:sz w:val="24"/>
          <w:szCs w:val="24"/>
        </w:rPr>
        <w:t xml:space="preserve">and </w:t>
      </w:r>
      <w:r w:rsidR="00F96CEF">
        <w:rPr>
          <w:rFonts w:cs="Times New Roman"/>
          <w:sz w:val="24"/>
          <w:szCs w:val="24"/>
        </w:rPr>
        <w:t>faced the island of Salamis, the location where the Persian enemies were defeated. When viewed in this context, as the ancient Athenians would have viewed her, she resembles the city protector and warrior. Pausanias describes her:</w:t>
      </w:r>
    </w:p>
    <w:p w:rsidR="00F96CEF" w:rsidRDefault="00F96CEF" w:rsidP="00F96CEF">
      <w:pPr>
        <w:suppressLineNumbers/>
        <w:spacing w:line="480" w:lineRule="auto"/>
        <w:ind w:left="1440"/>
        <w:contextualSpacing/>
        <w:rPr>
          <w:rFonts w:cs="Times New Roman"/>
          <w:sz w:val="24"/>
          <w:szCs w:val="24"/>
        </w:rPr>
      </w:pPr>
      <w:r>
        <w:rPr>
          <w:rFonts w:cs="Times New Roman"/>
          <w:sz w:val="24"/>
          <w:szCs w:val="24"/>
        </w:rPr>
        <w:t xml:space="preserve">There is first a bronze Athena, tithe from the Persians who landed at Marathon. It is the work of Pheidias, but the reliefs upon the shield, including the fight between the Centaurs and </w:t>
      </w:r>
      <w:proofErr w:type="spellStart"/>
      <w:r>
        <w:rPr>
          <w:rFonts w:cs="Times New Roman"/>
          <w:sz w:val="24"/>
          <w:szCs w:val="24"/>
        </w:rPr>
        <w:t>Lapithae</w:t>
      </w:r>
      <w:proofErr w:type="spellEnd"/>
      <w:r>
        <w:rPr>
          <w:rFonts w:cs="Times New Roman"/>
          <w:sz w:val="24"/>
          <w:szCs w:val="24"/>
        </w:rPr>
        <w:t xml:space="preserve">, are said to be from the chisel of </w:t>
      </w:r>
      <w:proofErr w:type="spellStart"/>
      <w:r>
        <w:rPr>
          <w:rFonts w:cs="Times New Roman"/>
          <w:sz w:val="24"/>
          <w:szCs w:val="24"/>
        </w:rPr>
        <w:t>Mys</w:t>
      </w:r>
      <w:proofErr w:type="spellEnd"/>
      <w:r>
        <w:rPr>
          <w:rFonts w:cs="Times New Roman"/>
          <w:sz w:val="24"/>
          <w:szCs w:val="24"/>
        </w:rPr>
        <w:t xml:space="preserve">, for whom they say </w:t>
      </w:r>
      <w:proofErr w:type="spellStart"/>
      <w:r>
        <w:rPr>
          <w:rFonts w:cs="Times New Roman"/>
          <w:sz w:val="24"/>
          <w:szCs w:val="24"/>
        </w:rPr>
        <w:t>Parrhasius</w:t>
      </w:r>
      <w:proofErr w:type="spellEnd"/>
      <w:r>
        <w:rPr>
          <w:rFonts w:cs="Times New Roman"/>
          <w:sz w:val="24"/>
          <w:szCs w:val="24"/>
        </w:rPr>
        <w:t xml:space="preserve">, the son of </w:t>
      </w:r>
      <w:proofErr w:type="spellStart"/>
      <w:r>
        <w:rPr>
          <w:rFonts w:cs="Times New Roman"/>
          <w:sz w:val="24"/>
          <w:szCs w:val="24"/>
        </w:rPr>
        <w:t>Evenor</w:t>
      </w:r>
      <w:proofErr w:type="spellEnd"/>
      <w:r>
        <w:rPr>
          <w:rFonts w:cs="Times New Roman"/>
          <w:sz w:val="24"/>
          <w:szCs w:val="24"/>
        </w:rPr>
        <w:t xml:space="preserve">, designed this and the rest of his works. The point of the spear of this Athena and the crest of her helmet are visible to those sailing to Athens, as soon as </w:t>
      </w:r>
      <w:proofErr w:type="spellStart"/>
      <w:r>
        <w:rPr>
          <w:rFonts w:cs="Times New Roman"/>
          <w:sz w:val="24"/>
          <w:szCs w:val="24"/>
        </w:rPr>
        <w:t>Sunium</w:t>
      </w:r>
      <w:proofErr w:type="spellEnd"/>
      <w:r>
        <w:rPr>
          <w:rFonts w:cs="Times New Roman"/>
          <w:sz w:val="24"/>
          <w:szCs w:val="24"/>
        </w:rPr>
        <w:t xml:space="preserve"> </w:t>
      </w:r>
      <w:proofErr w:type="gramStart"/>
      <w:r>
        <w:rPr>
          <w:rFonts w:cs="Times New Roman"/>
          <w:sz w:val="24"/>
          <w:szCs w:val="24"/>
        </w:rPr>
        <w:t>is passed</w:t>
      </w:r>
      <w:proofErr w:type="gramEnd"/>
      <w:r>
        <w:rPr>
          <w:rFonts w:cs="Times New Roman"/>
          <w:sz w:val="24"/>
          <w:szCs w:val="24"/>
        </w:rPr>
        <w:t>.</w:t>
      </w:r>
      <w:r>
        <w:rPr>
          <w:rStyle w:val="FootnoteReference"/>
          <w:rFonts w:cs="Times New Roman"/>
          <w:sz w:val="24"/>
          <w:szCs w:val="24"/>
        </w:rPr>
        <w:footnoteReference w:id="74"/>
      </w:r>
    </w:p>
    <w:p w:rsidR="003925A9" w:rsidRDefault="003925A9" w:rsidP="003925A9">
      <w:pPr>
        <w:suppressLineNumbers/>
        <w:spacing w:line="480" w:lineRule="auto"/>
        <w:contextualSpacing/>
        <w:rPr>
          <w:rFonts w:cs="Times New Roman"/>
          <w:sz w:val="24"/>
          <w:szCs w:val="24"/>
        </w:rPr>
      </w:pPr>
      <w:r>
        <w:rPr>
          <w:rFonts w:cs="Times New Roman"/>
          <w:sz w:val="24"/>
          <w:szCs w:val="24"/>
        </w:rPr>
        <w:t>This distance is roughly forty-three miles.</w:t>
      </w:r>
      <w:r>
        <w:rPr>
          <w:rStyle w:val="FootnoteReference"/>
          <w:rFonts w:cs="Times New Roman"/>
          <w:sz w:val="24"/>
          <w:szCs w:val="24"/>
        </w:rPr>
        <w:footnoteReference w:id="75"/>
      </w:r>
      <w:r>
        <w:rPr>
          <w:rFonts w:cs="Times New Roman"/>
          <w:sz w:val="24"/>
          <w:szCs w:val="24"/>
        </w:rPr>
        <w:t xml:space="preserve"> A bright beacon for miles, the bronze statue of Athena would have blazed itself into the vision of those entering the sacred grounds through the Propylaia. </w:t>
      </w:r>
    </w:p>
    <w:p w:rsidR="00AC4180" w:rsidRDefault="00AC4180" w:rsidP="00430F28">
      <w:pPr>
        <w:suppressLineNumbers/>
        <w:spacing w:line="480" w:lineRule="auto"/>
        <w:ind w:firstLine="720"/>
        <w:contextualSpacing/>
        <w:rPr>
          <w:rFonts w:cs="Times New Roman"/>
          <w:sz w:val="24"/>
          <w:szCs w:val="24"/>
        </w:rPr>
      </w:pPr>
    </w:p>
    <w:p w:rsidR="00AC4180" w:rsidRPr="00FD2EB8" w:rsidRDefault="00FA56AB" w:rsidP="00553080">
      <w:pPr>
        <w:suppressLineNumbers/>
        <w:spacing w:line="480" w:lineRule="auto"/>
        <w:contextualSpacing/>
        <w:rPr>
          <w:rFonts w:cs="Times New Roman"/>
          <w:sz w:val="24"/>
          <w:szCs w:val="24"/>
        </w:rPr>
      </w:pPr>
      <w:r w:rsidRPr="00FD2EB8">
        <w:rPr>
          <w:rFonts w:cs="Times New Roman"/>
          <w:noProof/>
          <w:sz w:val="24"/>
          <w:szCs w:val="24"/>
        </w:rPr>
        <w:lastRenderedPageBreak/>
        <w:drawing>
          <wp:anchor distT="0" distB="0" distL="114300" distR="114300" simplePos="0" relativeHeight="251661312" behindDoc="1" locked="0" layoutInCell="1" allowOverlap="1" wp14:anchorId="760743EA" wp14:editId="0FC54C7D">
            <wp:simplePos x="0" y="0"/>
            <wp:positionH relativeFrom="margin">
              <wp:posOffset>139065</wp:posOffset>
            </wp:positionH>
            <wp:positionV relativeFrom="paragraph">
              <wp:posOffset>-152400</wp:posOffset>
            </wp:positionV>
            <wp:extent cx="5502910" cy="3297555"/>
            <wp:effectExtent l="0" t="0" r="2540" b="0"/>
            <wp:wrapTight wrapText="bothSides">
              <wp:wrapPolygon edited="0">
                <wp:start x="0" y="0"/>
                <wp:lineTo x="0" y="21463"/>
                <wp:lineTo x="21535" y="21463"/>
                <wp:lineTo x="21535" y="0"/>
                <wp:lineTo x="0" y="0"/>
              </wp:wrapPolygon>
            </wp:wrapTight>
            <wp:docPr id="18" name="Picture 18" descr="C:\Users\Luke\Desktop\Acropoli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uke\Desktop\Acropolis.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02910" cy="329755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FD2EB8">
        <w:rPr>
          <w:noProof/>
          <w:sz w:val="24"/>
        </w:rPr>
        <w:drawing>
          <wp:anchor distT="0" distB="0" distL="114300" distR="114300" simplePos="0" relativeHeight="251679743" behindDoc="1" locked="0" layoutInCell="1" allowOverlap="1" wp14:anchorId="36B9E509" wp14:editId="14946DA1">
            <wp:simplePos x="0" y="0"/>
            <wp:positionH relativeFrom="margin">
              <wp:posOffset>-65405</wp:posOffset>
            </wp:positionH>
            <wp:positionV relativeFrom="paragraph">
              <wp:posOffset>4039870</wp:posOffset>
            </wp:positionV>
            <wp:extent cx="6123305" cy="3531235"/>
            <wp:effectExtent l="0" t="0" r="0" b="0"/>
            <wp:wrapSquare wrapText="bothSides"/>
            <wp:docPr id="19" name="Picture 19" descr="C:\Users\Luke\Desktop\Modern Acropol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Luke\Desktop\Modern Acropolis.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3305" cy="3531235"/>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r w:rsidR="00EB2D46">
        <w:rPr>
          <w:noProof/>
        </w:rPr>
        <mc:AlternateContent>
          <mc:Choice Requires="wps">
            <w:drawing>
              <wp:anchor distT="0" distB="0" distL="114300" distR="114300" simplePos="0" relativeHeight="251655165" behindDoc="0" locked="0" layoutInCell="1" allowOverlap="1" wp14:anchorId="1D3E676C" wp14:editId="7E125AF8">
                <wp:simplePos x="0" y="0"/>
                <wp:positionH relativeFrom="margin">
                  <wp:posOffset>-389255</wp:posOffset>
                </wp:positionH>
                <wp:positionV relativeFrom="paragraph">
                  <wp:posOffset>7590155</wp:posOffset>
                </wp:positionV>
                <wp:extent cx="6441440" cy="1181100"/>
                <wp:effectExtent l="0" t="0" r="0" b="0"/>
                <wp:wrapSquare wrapText="bothSides"/>
                <wp:docPr id="31" name="Text Box 31"/>
                <wp:cNvGraphicFramePr/>
                <a:graphic xmlns:a="http://schemas.openxmlformats.org/drawingml/2006/main">
                  <a:graphicData uri="http://schemas.microsoft.com/office/word/2010/wordprocessingShape">
                    <wps:wsp>
                      <wps:cNvSpPr txBox="1"/>
                      <wps:spPr>
                        <a:xfrm>
                          <a:off x="0" y="0"/>
                          <a:ext cx="6441440" cy="1181100"/>
                        </a:xfrm>
                        <a:prstGeom prst="rect">
                          <a:avLst/>
                        </a:prstGeom>
                        <a:solidFill>
                          <a:prstClr val="white"/>
                        </a:solidFill>
                        <a:ln>
                          <a:noFill/>
                        </a:ln>
                        <a:effectLst/>
                      </wps:spPr>
                      <wps:txbx>
                        <w:txbxContent>
                          <w:p w:rsidR="002F5AC7" w:rsidRPr="00825225" w:rsidRDefault="002F5AC7" w:rsidP="00EB2D46">
                            <w:pPr>
                              <w:pStyle w:val="Heading2"/>
                              <w:jc w:val="center"/>
                            </w:pPr>
                            <w:bookmarkStart w:id="55" w:name="_Toc468649001"/>
                            <w:bookmarkStart w:id="56" w:name="_Toc468649030"/>
                            <w:r w:rsidRPr="00825225">
                              <w:t>Figure 3</w:t>
                            </w:r>
                            <w:r w:rsidRPr="00825225">
                              <w:noBreakHyphen/>
                              <w:t>2: 2016 Map of the Akropolis</w:t>
                            </w:r>
                            <w:bookmarkEnd w:id="55"/>
                            <w:bookmarkEnd w:id="56"/>
                          </w:p>
                          <w:p w:rsidR="002F5AC7" w:rsidRPr="00647BE6" w:rsidRDefault="002F5AC7" w:rsidP="00EB2D46">
                            <w:pPr>
                              <w:spacing w:line="240" w:lineRule="auto"/>
                              <w:ind w:left="720"/>
                              <w:contextualSpacing/>
                              <w:jc w:val="center"/>
                              <w:rPr>
                                <w:color w:val="548DD4" w:themeColor="text2" w:themeTint="99"/>
                                <w:sz w:val="24"/>
                              </w:rPr>
                            </w:pPr>
                            <w:r w:rsidRPr="00647BE6">
                              <w:rPr>
                                <w:color w:val="548DD4" w:themeColor="text2" w:themeTint="99"/>
                                <w:sz w:val="24"/>
                              </w:rPr>
                              <w:t xml:space="preserve">Obtained from </w:t>
                            </w:r>
                            <w:r w:rsidRPr="00273FB3">
                              <w:rPr>
                                <w:color w:val="548DD4" w:themeColor="text2" w:themeTint="99"/>
                                <w:sz w:val="24"/>
                              </w:rPr>
                              <w:t>Google, Inc</w:t>
                            </w:r>
                            <w:r w:rsidRPr="00647BE6">
                              <w:rPr>
                                <w:i/>
                                <w:color w:val="548DD4" w:themeColor="text2" w:themeTint="99"/>
                                <w:sz w:val="24"/>
                              </w:rPr>
                              <w:t xml:space="preserve">., </w:t>
                            </w:r>
                            <w:r>
                              <w:rPr>
                                <w:i/>
                                <w:color w:val="548DD4" w:themeColor="text2" w:themeTint="99"/>
                                <w:sz w:val="24"/>
                              </w:rPr>
                              <w:t>“</w:t>
                            </w:r>
                            <w:r w:rsidRPr="00792BDC">
                              <w:rPr>
                                <w:color w:val="548DD4" w:themeColor="text2" w:themeTint="99"/>
                                <w:sz w:val="24"/>
                              </w:rPr>
                              <w:t>Map of the Acropolis</w:t>
                            </w:r>
                            <w:r w:rsidRPr="00647BE6">
                              <w:rPr>
                                <w:color w:val="548DD4" w:themeColor="text2" w:themeTint="99"/>
                                <w:sz w:val="24"/>
                              </w:rPr>
                              <w:t>,</w:t>
                            </w:r>
                            <w:r>
                              <w:rPr>
                                <w:color w:val="548DD4" w:themeColor="text2" w:themeTint="99"/>
                                <w:sz w:val="24"/>
                              </w:rPr>
                              <w:t>”</w:t>
                            </w:r>
                            <w:r w:rsidRPr="00647BE6">
                              <w:rPr>
                                <w:color w:val="548DD4" w:themeColor="text2" w:themeTint="99"/>
                                <w:sz w:val="24"/>
                              </w:rPr>
                              <w:t xml:space="preserve"> Google</w:t>
                            </w:r>
                            <w:r>
                              <w:rPr>
                                <w:color w:val="548DD4" w:themeColor="text2" w:themeTint="99"/>
                                <w:sz w:val="24"/>
                              </w:rPr>
                              <w:t xml:space="preserve"> Maps, Inc.</w:t>
                            </w:r>
                            <w:r w:rsidRPr="00647BE6">
                              <w:rPr>
                                <w:color w:val="548DD4" w:themeColor="text2" w:themeTint="99"/>
                                <w:sz w:val="24"/>
                              </w:rPr>
                              <w:t xml:space="preserve"> </w:t>
                            </w:r>
                            <w:r>
                              <w:rPr>
                                <w:color w:val="548DD4" w:themeColor="text2" w:themeTint="99"/>
                                <w:sz w:val="24"/>
                              </w:rPr>
                              <w:t xml:space="preserve">2016. </w:t>
                            </w:r>
                            <w:hyperlink r:id="rId28" w:history="1">
                              <w:r w:rsidRPr="00647BE6">
                                <w:rPr>
                                  <w:rStyle w:val="Hyperlink"/>
                                  <w:color w:val="548DD4" w:themeColor="text2" w:themeTint="99"/>
                                  <w:sz w:val="24"/>
                                </w:rPr>
                                <w:t>https://www.google.com/maps/place/Acropolis+of+Athens/@37.9715968,23.7254827,356m/data=!3m1!1e3!4m5!3m4!1s0x14a1bd1837f5acf3:0x5c97c042f5eb0df6!8m2!3d37.9715323!4d23.7257492</w:t>
                              </w:r>
                            </w:hyperlink>
                            <w:r>
                              <w:rPr>
                                <w:color w:val="548DD4" w:themeColor="text2" w:themeTint="99"/>
                                <w:sz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32" type="#_x0000_t202" style="position:absolute;margin-left:-30.65pt;margin-top:597.65pt;width:507.2pt;height:93pt;z-index:2516551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" stroked="f">
                <v:textbox inset="0,0,0,0">
                  <w:txbxContent>
                    <w:p w:rsidR="002F5AC7" w:rsidRPr="00825225" w:rsidRDefault="002F5AC7" w:rsidP="00EB2D46">
                      <w:pPr>
                        <w:pStyle w:val="Heading2"/>
                        <w:jc w:val="center"/>
                      </w:pPr>
                      <w:bookmarkStart w:id="57" w:name="_Toc468649001"/>
                      <w:bookmarkStart w:id="58" w:name="_Toc468649030"/>
                      <w:r w:rsidRPr="00825225">
                        <w:t>Figure 3</w:t>
                      </w:r>
                      <w:r w:rsidRPr="00825225">
                        <w:noBreakHyphen/>
                        <w:t>2: 2016 Map of the Akropolis</w:t>
                      </w:r>
                      <w:bookmarkEnd w:id="57"/>
                      <w:bookmarkEnd w:id="58"/>
                    </w:p>
                    <w:p w:rsidR="002F5AC7" w:rsidRPr="00647BE6" w:rsidRDefault="002F5AC7" w:rsidP="00EB2D46">
                      <w:pPr>
                        <w:spacing w:line="240" w:lineRule="auto"/>
                        <w:ind w:left="720"/>
                        <w:contextualSpacing/>
                        <w:jc w:val="center"/>
                        <w:rPr>
                          <w:color w:val="548DD4" w:themeColor="text2" w:themeTint="99"/>
                          <w:sz w:val="24"/>
                        </w:rPr>
                      </w:pPr>
                      <w:r w:rsidRPr="00647BE6">
                        <w:rPr>
                          <w:color w:val="548DD4" w:themeColor="text2" w:themeTint="99"/>
                          <w:sz w:val="24"/>
                        </w:rPr>
                        <w:t xml:space="preserve">Obtained from </w:t>
                      </w:r>
                      <w:r w:rsidRPr="00273FB3">
                        <w:rPr>
                          <w:color w:val="548DD4" w:themeColor="text2" w:themeTint="99"/>
                          <w:sz w:val="24"/>
                        </w:rPr>
                        <w:t>Google, Inc</w:t>
                      </w:r>
                      <w:r w:rsidRPr="00647BE6">
                        <w:rPr>
                          <w:i/>
                          <w:color w:val="548DD4" w:themeColor="text2" w:themeTint="99"/>
                          <w:sz w:val="24"/>
                        </w:rPr>
                        <w:t xml:space="preserve">., </w:t>
                      </w:r>
                      <w:r>
                        <w:rPr>
                          <w:i/>
                          <w:color w:val="548DD4" w:themeColor="text2" w:themeTint="99"/>
                          <w:sz w:val="24"/>
                        </w:rPr>
                        <w:t>“</w:t>
                      </w:r>
                      <w:r w:rsidRPr="00792BDC">
                        <w:rPr>
                          <w:color w:val="548DD4" w:themeColor="text2" w:themeTint="99"/>
                          <w:sz w:val="24"/>
                        </w:rPr>
                        <w:t>Map of the Acropolis</w:t>
                      </w:r>
                      <w:r w:rsidRPr="00647BE6">
                        <w:rPr>
                          <w:color w:val="548DD4" w:themeColor="text2" w:themeTint="99"/>
                          <w:sz w:val="24"/>
                        </w:rPr>
                        <w:t>,</w:t>
                      </w:r>
                      <w:r>
                        <w:rPr>
                          <w:color w:val="548DD4" w:themeColor="text2" w:themeTint="99"/>
                          <w:sz w:val="24"/>
                        </w:rPr>
                        <w:t>”</w:t>
                      </w:r>
                      <w:r w:rsidRPr="00647BE6">
                        <w:rPr>
                          <w:color w:val="548DD4" w:themeColor="text2" w:themeTint="99"/>
                          <w:sz w:val="24"/>
                        </w:rPr>
                        <w:t xml:space="preserve"> Google</w:t>
                      </w:r>
                      <w:r>
                        <w:rPr>
                          <w:color w:val="548DD4" w:themeColor="text2" w:themeTint="99"/>
                          <w:sz w:val="24"/>
                        </w:rPr>
                        <w:t xml:space="preserve"> Maps, Inc.</w:t>
                      </w:r>
                      <w:r w:rsidRPr="00647BE6">
                        <w:rPr>
                          <w:color w:val="548DD4" w:themeColor="text2" w:themeTint="99"/>
                          <w:sz w:val="24"/>
                        </w:rPr>
                        <w:t xml:space="preserve"> </w:t>
                      </w:r>
                      <w:r>
                        <w:rPr>
                          <w:color w:val="548DD4" w:themeColor="text2" w:themeTint="99"/>
                          <w:sz w:val="24"/>
                        </w:rPr>
                        <w:t xml:space="preserve">2016. </w:t>
                      </w:r>
                      <w:hyperlink r:id="rId29" w:history="1">
                        <w:r w:rsidRPr="00647BE6">
                          <w:rPr>
                            <w:rStyle w:val="Hyperlink"/>
                            <w:color w:val="548DD4" w:themeColor="text2" w:themeTint="99"/>
                            <w:sz w:val="24"/>
                          </w:rPr>
                          <w:t>https://www.google.com/maps/place/Acropolis+of+Athens/@37.9715968,23.7254827,356m/data=!3m1!1e3!4m5!3m4!1s0x14a1bd1837f5acf3:0x5c97c042f5eb0df6!8m2!3d37.9715323!4d23.7257492</w:t>
                        </w:r>
                      </w:hyperlink>
                      <w:r>
                        <w:rPr>
                          <w:color w:val="548DD4" w:themeColor="text2" w:themeTint="99"/>
                          <w:sz w:val="24"/>
                        </w:rPr>
                        <w:t>.</w:t>
                      </w:r>
                    </w:p>
                  </w:txbxContent>
                </v:textbox>
                <w10:wrap type="square" anchorx="margin"/>
              </v:shape>
            </w:pict>
          </mc:Fallback>
        </mc:AlternateContent>
      </w:r>
      <w:r w:rsidR="00EB2D46">
        <w:rPr>
          <w:noProof/>
        </w:rPr>
        <mc:AlternateContent>
          <mc:Choice Requires="wps">
            <w:drawing>
              <wp:anchor distT="0" distB="0" distL="114300" distR="114300" simplePos="0" relativeHeight="251677696" behindDoc="0" locked="0" layoutInCell="1" allowOverlap="1" wp14:anchorId="2138D9E7" wp14:editId="1D0C257F">
                <wp:simplePos x="0" y="0"/>
                <wp:positionH relativeFrom="margin">
                  <wp:posOffset>-9525</wp:posOffset>
                </wp:positionH>
                <wp:positionV relativeFrom="paragraph">
                  <wp:posOffset>3209290</wp:posOffset>
                </wp:positionV>
                <wp:extent cx="5928360" cy="771525"/>
                <wp:effectExtent l="0" t="0" r="0" b="9525"/>
                <wp:wrapTight wrapText="bothSides">
                  <wp:wrapPolygon edited="0">
                    <wp:start x="0" y="0"/>
                    <wp:lineTo x="0" y="21333"/>
                    <wp:lineTo x="21517" y="21333"/>
                    <wp:lineTo x="21517" y="0"/>
                    <wp:lineTo x="0" y="0"/>
                  </wp:wrapPolygon>
                </wp:wrapTight>
                <wp:docPr id="672" name="Text Box 672"/>
                <wp:cNvGraphicFramePr/>
                <a:graphic xmlns:a="http://schemas.openxmlformats.org/drawingml/2006/main">
                  <a:graphicData uri="http://schemas.microsoft.com/office/word/2010/wordprocessingShape">
                    <wps:wsp>
                      <wps:cNvSpPr txBox="1"/>
                      <wps:spPr>
                        <a:xfrm>
                          <a:off x="0" y="0"/>
                          <a:ext cx="5928360" cy="771525"/>
                        </a:xfrm>
                        <a:prstGeom prst="rect">
                          <a:avLst/>
                        </a:prstGeom>
                        <a:solidFill>
                          <a:prstClr val="white"/>
                        </a:solidFill>
                        <a:ln>
                          <a:noFill/>
                        </a:ln>
                        <a:effectLst/>
                      </wps:spPr>
                      <wps:txbx>
                        <w:txbxContent>
                          <w:p w:rsidR="002F5AC7" w:rsidRPr="00825225" w:rsidRDefault="002F5AC7" w:rsidP="00825225">
                            <w:pPr>
                              <w:pStyle w:val="Heading2"/>
                              <w:jc w:val="center"/>
                            </w:pPr>
                            <w:bookmarkStart w:id="59" w:name="_Toc468649002"/>
                            <w:bookmarkStart w:id="60" w:name="_Toc468649031"/>
                            <w:r w:rsidRPr="00825225">
                              <w:t>Figure 3</w:t>
                            </w:r>
                            <w:r w:rsidRPr="00825225">
                              <w:noBreakHyphen/>
                              <w:t>1: Map of the Akropolis</w:t>
                            </w:r>
                            <w:r>
                              <w:t xml:space="preserve"> of Athens in Socrates and Plato’s Time</w:t>
                            </w:r>
                            <w:bookmarkEnd w:id="59"/>
                            <w:bookmarkEnd w:id="60"/>
                          </w:p>
                          <w:p w:rsidR="002F5AC7" w:rsidRPr="00792BDC" w:rsidRDefault="002F5AC7" w:rsidP="00792BDC">
                            <w:pPr>
                              <w:spacing w:line="240" w:lineRule="auto"/>
                              <w:contextualSpacing/>
                              <w:jc w:val="center"/>
                              <w:rPr>
                                <w:color w:val="548DD4" w:themeColor="text2" w:themeTint="99"/>
                                <w:sz w:val="24"/>
                              </w:rPr>
                            </w:pPr>
                            <w:r w:rsidRPr="00792BDC">
                              <w:rPr>
                                <w:color w:val="548DD4" w:themeColor="text2" w:themeTint="99"/>
                                <w:sz w:val="24"/>
                              </w:rPr>
                              <w:t xml:space="preserve">Obtained from </w:t>
                            </w:r>
                            <w:proofErr w:type="spellStart"/>
                            <w:r w:rsidRPr="00792BDC">
                              <w:rPr>
                                <w:color w:val="548DD4" w:themeColor="text2" w:themeTint="99"/>
                                <w:sz w:val="24"/>
                              </w:rPr>
                              <w:t>Beranrd</w:t>
                            </w:r>
                            <w:proofErr w:type="spellEnd"/>
                            <w:r w:rsidRPr="00792BDC">
                              <w:rPr>
                                <w:color w:val="548DD4" w:themeColor="text2" w:themeTint="99"/>
                                <w:sz w:val="24"/>
                              </w:rPr>
                              <w:t xml:space="preserve"> Suzanne, “Map of the Acropolis of Athens in Socrates and Plato's time,” </w:t>
                            </w:r>
                            <w:r w:rsidRPr="00792BDC">
                              <w:rPr>
                                <w:i/>
                                <w:color w:val="548DD4" w:themeColor="text2" w:themeTint="99"/>
                                <w:sz w:val="24"/>
                              </w:rPr>
                              <w:t>Plato Dialogues</w:t>
                            </w:r>
                            <w:r w:rsidRPr="00792BDC">
                              <w:rPr>
                                <w:color w:val="548DD4" w:themeColor="text2" w:themeTint="99"/>
                                <w:sz w:val="24"/>
                              </w:rPr>
                              <w:t xml:space="preserve">. Dec. 30, 1998. </w:t>
                            </w:r>
                            <w:hyperlink r:id="rId30" w:history="1">
                              <w:r w:rsidRPr="00792BDC">
                                <w:rPr>
                                  <w:rStyle w:val="Hyperlink"/>
                                  <w:color w:val="548DD4" w:themeColor="text2" w:themeTint="99"/>
                                  <w:sz w:val="24"/>
                                </w:rPr>
                                <w:t>http://plato-dialogues.org/tools/acropol.htm</w:t>
                              </w:r>
                            </w:hyperlink>
                            <w:r w:rsidRPr="00792BDC">
                              <w:rPr>
                                <w:color w:val="548DD4" w:themeColor="text2" w:themeTint="99"/>
                                <w:sz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72" o:spid="_x0000_s1033" type="#_x0000_t202" style="position:absolute;margin-left:-.75pt;margin-top:252.7pt;width:466.8pt;height:60.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" stroked="f">
                <v:textbox inset="0,0,0,0">
                  <w:txbxContent>
                    <w:p w:rsidR="002F5AC7" w:rsidRPr="00825225" w:rsidRDefault="002F5AC7" w:rsidP="00825225">
                      <w:pPr>
                        <w:pStyle w:val="Heading2"/>
                        <w:jc w:val="center"/>
                      </w:pPr>
                      <w:bookmarkStart w:id="61" w:name="_Toc468649002"/>
                      <w:bookmarkStart w:id="62" w:name="_Toc468649031"/>
                      <w:r w:rsidRPr="00825225">
                        <w:t>Figure 3</w:t>
                      </w:r>
                      <w:r w:rsidRPr="00825225">
                        <w:noBreakHyphen/>
                        <w:t>1: Map of the Akropolis</w:t>
                      </w:r>
                      <w:r>
                        <w:t xml:space="preserve"> of Athens in Socrates and Plato’s Time</w:t>
                      </w:r>
                      <w:bookmarkEnd w:id="61"/>
                      <w:bookmarkEnd w:id="62"/>
                    </w:p>
                    <w:p w:rsidR="002F5AC7" w:rsidRPr="00792BDC" w:rsidRDefault="002F5AC7" w:rsidP="00792BDC">
                      <w:pPr>
                        <w:spacing w:line="240" w:lineRule="auto"/>
                        <w:contextualSpacing/>
                        <w:jc w:val="center"/>
                        <w:rPr>
                          <w:color w:val="548DD4" w:themeColor="text2" w:themeTint="99"/>
                          <w:sz w:val="24"/>
                        </w:rPr>
                      </w:pPr>
                      <w:r w:rsidRPr="00792BDC">
                        <w:rPr>
                          <w:color w:val="548DD4" w:themeColor="text2" w:themeTint="99"/>
                          <w:sz w:val="24"/>
                        </w:rPr>
                        <w:t xml:space="preserve">Obtained from </w:t>
                      </w:r>
                      <w:proofErr w:type="spellStart"/>
                      <w:r w:rsidRPr="00792BDC">
                        <w:rPr>
                          <w:color w:val="548DD4" w:themeColor="text2" w:themeTint="99"/>
                          <w:sz w:val="24"/>
                        </w:rPr>
                        <w:t>Beranrd</w:t>
                      </w:r>
                      <w:proofErr w:type="spellEnd"/>
                      <w:r w:rsidRPr="00792BDC">
                        <w:rPr>
                          <w:color w:val="548DD4" w:themeColor="text2" w:themeTint="99"/>
                          <w:sz w:val="24"/>
                        </w:rPr>
                        <w:t xml:space="preserve"> Suzanne, “Map of the Acropolis of Athens in Socrates and Plato's time,” </w:t>
                      </w:r>
                      <w:r w:rsidRPr="00792BDC">
                        <w:rPr>
                          <w:i/>
                          <w:color w:val="548DD4" w:themeColor="text2" w:themeTint="99"/>
                          <w:sz w:val="24"/>
                        </w:rPr>
                        <w:t>Plato Dialogues</w:t>
                      </w:r>
                      <w:r w:rsidRPr="00792BDC">
                        <w:rPr>
                          <w:color w:val="548DD4" w:themeColor="text2" w:themeTint="99"/>
                          <w:sz w:val="24"/>
                        </w:rPr>
                        <w:t xml:space="preserve">. Dec. 30, 1998. </w:t>
                      </w:r>
                      <w:hyperlink r:id="rId31" w:history="1">
                        <w:r w:rsidRPr="00792BDC">
                          <w:rPr>
                            <w:rStyle w:val="Hyperlink"/>
                            <w:color w:val="548DD4" w:themeColor="text2" w:themeTint="99"/>
                            <w:sz w:val="24"/>
                          </w:rPr>
                          <w:t>http://plato-dialogues.org/tools/acropol.htm</w:t>
                        </w:r>
                      </w:hyperlink>
                      <w:r w:rsidRPr="00792BDC">
                        <w:rPr>
                          <w:color w:val="548DD4" w:themeColor="text2" w:themeTint="99"/>
                          <w:sz w:val="24"/>
                        </w:rPr>
                        <w:t>.</w:t>
                      </w:r>
                    </w:p>
                  </w:txbxContent>
                </v:textbox>
                <w10:wrap type="tight" anchorx="margin"/>
              </v:shape>
            </w:pict>
          </mc:Fallback>
        </mc:AlternateContent>
      </w:r>
      <w:r w:rsidR="00CF5699" w:rsidRPr="00FD2EB8">
        <w:rPr>
          <w:rFonts w:cs="Times New Roman"/>
          <w:sz w:val="24"/>
          <w:szCs w:val="24"/>
        </w:rPr>
        <w:t xml:space="preserve"> </w:t>
      </w:r>
    </w:p>
    <w:p w:rsidR="00086CE2" w:rsidRDefault="00AC4180" w:rsidP="00086CE2">
      <w:pPr>
        <w:keepNext/>
        <w:suppressLineNumbers/>
        <w:spacing w:line="480" w:lineRule="auto"/>
        <w:contextualSpacing/>
        <w:jc w:val="center"/>
      </w:pPr>
      <w:r>
        <w:rPr>
          <w:rFonts w:cs="Times New Roman"/>
          <w:noProof/>
          <w:sz w:val="24"/>
          <w:szCs w:val="24"/>
        </w:rPr>
        <w:lastRenderedPageBreak/>
        <w:drawing>
          <wp:inline distT="0" distB="0" distL="0" distR="0" wp14:anchorId="2D011F9C" wp14:editId="1F267665">
            <wp:extent cx="3048000" cy="3381881"/>
            <wp:effectExtent l="0" t="0" r="0" b="9525"/>
            <wp:docPr id="20" name="Picture 20" descr="C:\Users\Luke\Desktop\Temple of Athena Ni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uke\Desktop\Temple of Athena Nike.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4969" t="14988" r="4327" b="5920"/>
                    <a:stretch/>
                  </pic:blipFill>
                  <pic:spPr bwMode="auto">
                    <a:xfrm>
                      <a:off x="0" y="0"/>
                      <a:ext cx="3071988" cy="3408497"/>
                    </a:xfrm>
                    <a:prstGeom prst="rect">
                      <a:avLst/>
                    </a:prstGeom>
                    <a:noFill/>
                    <a:ln>
                      <a:noFill/>
                    </a:ln>
                    <a:effectLst>
                      <a:softEdge rad="63500"/>
                    </a:effectLst>
                    <a:extLst>
                      <a:ext uri="{53640926-AAD7-44D8-BBD7-CCE9431645EC}">
                        <a14:shadowObscured xmlns:a14="http://schemas.microsoft.com/office/drawing/2010/main"/>
                      </a:ext>
                    </a:extLst>
                  </pic:spPr>
                </pic:pic>
              </a:graphicData>
            </a:graphic>
          </wp:inline>
        </w:drawing>
      </w:r>
    </w:p>
    <w:p w:rsidR="00086CE2" w:rsidRPr="000F0288" w:rsidRDefault="00086CE2" w:rsidP="000F0288">
      <w:pPr>
        <w:pStyle w:val="Heading2"/>
        <w:jc w:val="center"/>
      </w:pPr>
      <w:bookmarkStart w:id="63" w:name="_Toc468630837"/>
      <w:bookmarkStart w:id="64" w:name="_Toc468649003"/>
      <w:r w:rsidRPr="000F0288">
        <w:t xml:space="preserve">Figure </w:t>
      </w:r>
      <w:r w:rsidR="00506D73" w:rsidRPr="000F0288">
        <w:t>3</w:t>
      </w:r>
      <w:r w:rsidR="008671D4" w:rsidRPr="000F0288">
        <w:noBreakHyphen/>
      </w:r>
      <w:r w:rsidR="00430F28" w:rsidRPr="000F0288">
        <w:t>3</w:t>
      </w:r>
      <w:r w:rsidR="000F0288" w:rsidRPr="000F0288">
        <w:t>:</w:t>
      </w:r>
      <w:r w:rsidR="00506D73" w:rsidRPr="000F0288">
        <w:t xml:space="preserve"> East Side of the Temple of Athena Nike</w:t>
      </w:r>
      <w:bookmarkEnd w:id="63"/>
      <w:bookmarkEnd w:id="64"/>
    </w:p>
    <w:p w:rsidR="00086CE2" w:rsidRPr="00506D73" w:rsidRDefault="00086CE2" w:rsidP="00506D73">
      <w:pPr>
        <w:spacing w:line="240" w:lineRule="auto"/>
        <w:contextualSpacing/>
        <w:jc w:val="center"/>
        <w:rPr>
          <w:i/>
          <w:color w:val="548DD4" w:themeColor="text2" w:themeTint="99"/>
          <w:sz w:val="24"/>
        </w:rPr>
      </w:pPr>
      <w:r w:rsidRPr="00506D73">
        <w:rPr>
          <w:color w:val="548DD4" w:themeColor="text2" w:themeTint="99"/>
          <w:sz w:val="24"/>
        </w:rPr>
        <w:t xml:space="preserve">Reprinted from Gerhart </w:t>
      </w:r>
      <w:proofErr w:type="spellStart"/>
      <w:r w:rsidRPr="00506D73">
        <w:rPr>
          <w:color w:val="548DD4" w:themeColor="text2" w:themeTint="99"/>
          <w:sz w:val="24"/>
        </w:rPr>
        <w:t>Rodenwaldt</w:t>
      </w:r>
      <w:proofErr w:type="spellEnd"/>
      <w:r w:rsidRPr="00506D73">
        <w:rPr>
          <w:color w:val="548DD4" w:themeColor="text2" w:themeTint="99"/>
          <w:sz w:val="24"/>
        </w:rPr>
        <w:t xml:space="preserve"> and Walter </w:t>
      </w:r>
      <w:proofErr w:type="spellStart"/>
      <w:r w:rsidRPr="00506D73">
        <w:rPr>
          <w:color w:val="548DD4" w:themeColor="text2" w:themeTint="99"/>
          <w:sz w:val="24"/>
        </w:rPr>
        <w:t>Hege</w:t>
      </w:r>
      <w:proofErr w:type="spellEnd"/>
      <w:r w:rsidRPr="00506D73">
        <w:rPr>
          <w:color w:val="548DD4" w:themeColor="text2" w:themeTint="99"/>
          <w:sz w:val="24"/>
        </w:rPr>
        <w:t xml:space="preserve">, Photographer, </w:t>
      </w:r>
      <w:r w:rsidRPr="00473805">
        <w:rPr>
          <w:i/>
          <w:color w:val="548DD4" w:themeColor="text2" w:themeTint="99"/>
          <w:sz w:val="24"/>
        </w:rPr>
        <w:t>The Acropolis</w:t>
      </w:r>
      <w:r w:rsidRPr="00506D73">
        <w:rPr>
          <w:color w:val="548DD4" w:themeColor="text2" w:themeTint="99"/>
          <w:sz w:val="24"/>
        </w:rPr>
        <w:t xml:space="preserve">, </w:t>
      </w:r>
      <w:proofErr w:type="gramStart"/>
      <w:r w:rsidRPr="00506D73">
        <w:rPr>
          <w:color w:val="548DD4" w:themeColor="text2" w:themeTint="99"/>
          <w:sz w:val="24"/>
        </w:rPr>
        <w:t>2nd</w:t>
      </w:r>
      <w:proofErr w:type="gramEnd"/>
      <w:r w:rsidRPr="00506D73">
        <w:rPr>
          <w:color w:val="548DD4" w:themeColor="text2" w:themeTint="99"/>
          <w:sz w:val="24"/>
        </w:rPr>
        <w:t xml:space="preserve"> ed. (Norman: U of Oklahoma P. 1957), Plate 58. </w:t>
      </w:r>
      <w:r w:rsidR="00506D73" w:rsidRPr="00506D73">
        <w:rPr>
          <w:i/>
          <w:color w:val="548DD4" w:themeColor="text2" w:themeTint="99"/>
          <w:sz w:val="24"/>
        </w:rPr>
        <w:t xml:space="preserve">Temple of Athena Nike. </w:t>
      </w:r>
      <w:proofErr w:type="gramStart"/>
      <w:r w:rsidR="00506D73" w:rsidRPr="00506D73">
        <w:rPr>
          <w:i/>
          <w:color w:val="548DD4" w:themeColor="text2" w:themeTint="99"/>
          <w:sz w:val="24"/>
        </w:rPr>
        <w:t>East Side</w:t>
      </w:r>
      <w:r w:rsidRPr="00506D73">
        <w:rPr>
          <w:i/>
          <w:color w:val="548DD4" w:themeColor="text2" w:themeTint="99"/>
          <w:sz w:val="24"/>
        </w:rPr>
        <w:t>.</w:t>
      </w:r>
      <w:proofErr w:type="gramEnd"/>
    </w:p>
    <w:p w:rsidR="00AC4180" w:rsidRDefault="00AC4180" w:rsidP="00506D73">
      <w:pPr>
        <w:suppressLineNumbers/>
        <w:spacing w:line="480" w:lineRule="auto"/>
        <w:contextualSpacing/>
        <w:rPr>
          <w:rFonts w:cs="Times New Roman"/>
          <w:sz w:val="24"/>
          <w:szCs w:val="24"/>
        </w:rPr>
      </w:pPr>
    </w:p>
    <w:p w:rsidR="000F3C5D" w:rsidRDefault="00050A8A" w:rsidP="003925A9">
      <w:pPr>
        <w:keepNext/>
        <w:suppressLineNumbers/>
        <w:spacing w:line="480" w:lineRule="auto"/>
        <w:ind w:left="360"/>
        <w:contextualSpacing/>
        <w:jc w:val="center"/>
      </w:pPr>
      <w:r>
        <w:rPr>
          <w:rFonts w:cs="Times New Roman"/>
          <w:noProof/>
          <w:sz w:val="24"/>
          <w:szCs w:val="24"/>
        </w:rPr>
        <w:drawing>
          <wp:inline distT="0" distB="0" distL="0" distR="0" wp14:anchorId="2198C88D" wp14:editId="7D52841D">
            <wp:extent cx="3711388" cy="2633471"/>
            <wp:effectExtent l="0" t="0" r="3810" b="0"/>
            <wp:docPr id="21" name="Picture 21" descr="C:\Users\Luke\Desktop\Propyla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Luke\Desktop\Propylaea.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5288" t="6328" r="2564" b="7595"/>
                    <a:stretch/>
                  </pic:blipFill>
                  <pic:spPr bwMode="auto">
                    <a:xfrm>
                      <a:off x="0" y="0"/>
                      <a:ext cx="3717948" cy="2638126"/>
                    </a:xfrm>
                    <a:prstGeom prst="rect">
                      <a:avLst/>
                    </a:prstGeom>
                    <a:noFill/>
                    <a:ln>
                      <a:noFill/>
                    </a:ln>
                    <a:effectLst>
                      <a:softEdge rad="63500"/>
                    </a:effectLst>
                    <a:extLst>
                      <a:ext uri="{53640926-AAD7-44D8-BBD7-CCE9431645EC}">
                        <a14:shadowObscured xmlns:a14="http://schemas.microsoft.com/office/drawing/2010/main"/>
                      </a:ext>
                    </a:extLst>
                  </pic:spPr>
                </pic:pic>
              </a:graphicData>
            </a:graphic>
          </wp:inline>
        </w:drawing>
      </w:r>
    </w:p>
    <w:p w:rsidR="000F3C5D" w:rsidRPr="000F0288" w:rsidRDefault="000F3C5D" w:rsidP="000F0288">
      <w:pPr>
        <w:pStyle w:val="Heading2"/>
        <w:jc w:val="center"/>
      </w:pPr>
      <w:bookmarkStart w:id="65" w:name="_Toc468630838"/>
      <w:bookmarkStart w:id="66" w:name="_Toc468649004"/>
      <w:r w:rsidRPr="000F0288">
        <w:t>Fig</w:t>
      </w:r>
      <w:r w:rsidR="00732FF2" w:rsidRPr="000F0288">
        <w:t>ure 3</w:t>
      </w:r>
      <w:r w:rsidR="00647BE6" w:rsidRPr="000F0288">
        <w:noBreakHyphen/>
      </w:r>
      <w:r w:rsidR="00430F28" w:rsidRPr="000F0288">
        <w:t>4</w:t>
      </w:r>
      <w:r w:rsidR="000F0288" w:rsidRPr="000F0288">
        <w:t xml:space="preserve">: </w:t>
      </w:r>
      <w:r w:rsidR="00506D73" w:rsidRPr="000F0288">
        <w:t xml:space="preserve">West Side of the </w:t>
      </w:r>
      <w:r w:rsidRPr="000F0288">
        <w:t>Propylaea</w:t>
      </w:r>
      <w:bookmarkEnd w:id="65"/>
      <w:bookmarkEnd w:id="66"/>
    </w:p>
    <w:p w:rsidR="006C0D50" w:rsidRPr="005F1281" w:rsidRDefault="00DF3FCF" w:rsidP="005F1281">
      <w:pPr>
        <w:spacing w:line="240" w:lineRule="auto"/>
        <w:contextualSpacing/>
        <w:jc w:val="center"/>
        <w:rPr>
          <w:color w:val="548DD4" w:themeColor="text2" w:themeTint="99"/>
          <w:sz w:val="24"/>
          <w:szCs w:val="24"/>
        </w:rPr>
      </w:pPr>
      <w:r>
        <w:rPr>
          <w:color w:val="548DD4" w:themeColor="text2" w:themeTint="99"/>
          <w:sz w:val="24"/>
          <w:szCs w:val="24"/>
        </w:rPr>
        <w:t xml:space="preserve">Reprinted from </w:t>
      </w:r>
      <w:r w:rsidR="000F3C5D" w:rsidRPr="00DF3FCF">
        <w:rPr>
          <w:color w:val="548DD4" w:themeColor="text2" w:themeTint="99"/>
          <w:sz w:val="24"/>
          <w:szCs w:val="24"/>
        </w:rPr>
        <w:t xml:space="preserve">Gerhart </w:t>
      </w:r>
      <w:proofErr w:type="spellStart"/>
      <w:r w:rsidR="000F3C5D" w:rsidRPr="00DF3FCF">
        <w:rPr>
          <w:color w:val="548DD4" w:themeColor="text2" w:themeTint="99"/>
          <w:sz w:val="24"/>
          <w:szCs w:val="24"/>
        </w:rPr>
        <w:t>Rodenwaldt</w:t>
      </w:r>
      <w:proofErr w:type="spellEnd"/>
      <w:r w:rsidR="000F3C5D" w:rsidRPr="00DF3FCF">
        <w:rPr>
          <w:color w:val="548DD4" w:themeColor="text2" w:themeTint="99"/>
          <w:sz w:val="24"/>
          <w:szCs w:val="24"/>
        </w:rPr>
        <w:t xml:space="preserve"> and Walter </w:t>
      </w:r>
      <w:proofErr w:type="spellStart"/>
      <w:r w:rsidR="000F3C5D" w:rsidRPr="00DF3FCF">
        <w:rPr>
          <w:color w:val="548DD4" w:themeColor="text2" w:themeTint="99"/>
          <w:sz w:val="24"/>
          <w:szCs w:val="24"/>
        </w:rPr>
        <w:t>Hege</w:t>
      </w:r>
      <w:proofErr w:type="spellEnd"/>
      <w:r w:rsidR="000F3C5D" w:rsidRPr="00DF3FCF">
        <w:rPr>
          <w:color w:val="548DD4" w:themeColor="text2" w:themeTint="99"/>
          <w:sz w:val="24"/>
          <w:szCs w:val="24"/>
        </w:rPr>
        <w:t xml:space="preserve">, Photographer, </w:t>
      </w:r>
      <w:r w:rsidR="000F3C5D" w:rsidRPr="00DF3FCF">
        <w:rPr>
          <w:i/>
          <w:color w:val="548DD4" w:themeColor="text2" w:themeTint="99"/>
          <w:sz w:val="24"/>
          <w:szCs w:val="24"/>
        </w:rPr>
        <w:t>The Acropolis</w:t>
      </w:r>
      <w:r w:rsidR="00914390" w:rsidRPr="00DF3FCF">
        <w:rPr>
          <w:color w:val="548DD4" w:themeColor="text2" w:themeTint="99"/>
          <w:sz w:val="24"/>
          <w:szCs w:val="24"/>
        </w:rPr>
        <w:t xml:space="preserve">, </w:t>
      </w:r>
      <w:proofErr w:type="gramStart"/>
      <w:r w:rsidR="00914390" w:rsidRPr="00DF3FCF">
        <w:rPr>
          <w:color w:val="548DD4" w:themeColor="text2" w:themeTint="99"/>
          <w:sz w:val="24"/>
          <w:szCs w:val="24"/>
        </w:rPr>
        <w:t>2</w:t>
      </w:r>
      <w:r w:rsidR="00914390" w:rsidRPr="00DF3FCF">
        <w:rPr>
          <w:color w:val="548DD4" w:themeColor="text2" w:themeTint="99"/>
          <w:sz w:val="24"/>
          <w:szCs w:val="24"/>
          <w:vertAlign w:val="superscript"/>
        </w:rPr>
        <w:t>nd</w:t>
      </w:r>
      <w:proofErr w:type="gramEnd"/>
      <w:r w:rsidR="00914390" w:rsidRPr="00DF3FCF">
        <w:rPr>
          <w:color w:val="548DD4" w:themeColor="text2" w:themeTint="99"/>
          <w:sz w:val="24"/>
          <w:szCs w:val="24"/>
        </w:rPr>
        <w:t xml:space="preserve"> ed. </w:t>
      </w:r>
      <w:r w:rsidR="000F3C5D" w:rsidRPr="00DF3FCF">
        <w:rPr>
          <w:color w:val="548DD4" w:themeColor="text2" w:themeTint="99"/>
          <w:sz w:val="24"/>
          <w:szCs w:val="24"/>
        </w:rPr>
        <w:t>(</w:t>
      </w:r>
      <w:r w:rsidR="00914390" w:rsidRPr="00DF3FCF">
        <w:rPr>
          <w:color w:val="548DD4" w:themeColor="text2" w:themeTint="99"/>
          <w:sz w:val="24"/>
          <w:szCs w:val="24"/>
        </w:rPr>
        <w:t xml:space="preserve">Norman: U of Oklahoma P. 1957), </w:t>
      </w:r>
      <w:r w:rsidRPr="00DF3FCF">
        <w:rPr>
          <w:color w:val="548DD4" w:themeColor="text2" w:themeTint="99"/>
          <w:sz w:val="24"/>
          <w:szCs w:val="24"/>
        </w:rPr>
        <w:t xml:space="preserve">Plate 58. </w:t>
      </w:r>
      <w:proofErr w:type="gramStart"/>
      <w:r w:rsidRPr="00DF3FCF">
        <w:rPr>
          <w:i/>
          <w:color w:val="548DD4" w:themeColor="text2" w:themeTint="99"/>
          <w:sz w:val="24"/>
          <w:szCs w:val="24"/>
        </w:rPr>
        <w:t>Propylaea</w:t>
      </w:r>
      <w:r w:rsidR="00506D73">
        <w:rPr>
          <w:i/>
          <w:color w:val="548DD4" w:themeColor="text2" w:themeTint="99"/>
          <w:sz w:val="24"/>
          <w:szCs w:val="24"/>
        </w:rPr>
        <w:t>.</w:t>
      </w:r>
      <w:proofErr w:type="gramEnd"/>
      <w:r w:rsidRPr="00DF3FCF">
        <w:rPr>
          <w:i/>
          <w:color w:val="548DD4" w:themeColor="text2" w:themeTint="99"/>
          <w:sz w:val="24"/>
          <w:szCs w:val="24"/>
        </w:rPr>
        <w:t xml:space="preserve"> </w:t>
      </w:r>
      <w:proofErr w:type="gramStart"/>
      <w:r w:rsidRPr="00DF3FCF">
        <w:rPr>
          <w:i/>
          <w:color w:val="548DD4" w:themeColor="text2" w:themeTint="99"/>
          <w:sz w:val="24"/>
          <w:szCs w:val="24"/>
        </w:rPr>
        <w:t>West Side</w:t>
      </w:r>
      <w:r w:rsidRPr="00DF3FCF">
        <w:rPr>
          <w:color w:val="548DD4" w:themeColor="text2" w:themeTint="99"/>
          <w:sz w:val="24"/>
          <w:szCs w:val="24"/>
        </w:rPr>
        <w:t>.</w:t>
      </w:r>
      <w:proofErr w:type="gramEnd"/>
    </w:p>
    <w:p w:rsidR="00C33C7A" w:rsidRDefault="00C838A7" w:rsidP="00890FEE">
      <w:pPr>
        <w:suppressLineNumbers/>
        <w:spacing w:line="480" w:lineRule="auto"/>
        <w:ind w:firstLine="720"/>
        <w:contextualSpacing/>
        <w:rPr>
          <w:rFonts w:cs="Times New Roman"/>
          <w:sz w:val="24"/>
          <w:szCs w:val="24"/>
        </w:rPr>
      </w:pPr>
      <w:r>
        <w:rPr>
          <w:rFonts w:cs="Times New Roman"/>
          <w:sz w:val="24"/>
          <w:szCs w:val="24"/>
        </w:rPr>
        <w:lastRenderedPageBreak/>
        <w:t>The Parthenon</w:t>
      </w:r>
      <w:r w:rsidR="00732FF2">
        <w:rPr>
          <w:rFonts w:cs="Times New Roman"/>
          <w:sz w:val="24"/>
          <w:szCs w:val="24"/>
        </w:rPr>
        <w:t xml:space="preserve"> (See Figure 3-5)</w:t>
      </w:r>
      <w:r>
        <w:rPr>
          <w:rFonts w:cs="Times New Roman"/>
          <w:sz w:val="24"/>
          <w:szCs w:val="24"/>
        </w:rPr>
        <w:t xml:space="preserve"> contains </w:t>
      </w:r>
      <w:r w:rsidR="005F1281">
        <w:rPr>
          <w:rFonts w:cs="Times New Roman"/>
          <w:sz w:val="24"/>
          <w:szCs w:val="24"/>
        </w:rPr>
        <w:t>another</w:t>
      </w:r>
      <w:r w:rsidR="000674B5">
        <w:rPr>
          <w:rFonts w:cs="Times New Roman"/>
          <w:sz w:val="24"/>
          <w:szCs w:val="24"/>
        </w:rPr>
        <w:t xml:space="preserve"> embodiment of the goddess Athena</w:t>
      </w:r>
      <w:r w:rsidR="00644BB9">
        <w:rPr>
          <w:rFonts w:cs="Times New Roman"/>
          <w:sz w:val="24"/>
          <w:szCs w:val="24"/>
        </w:rPr>
        <w:t xml:space="preserve">. </w:t>
      </w:r>
      <w:r w:rsidR="000674B5" w:rsidRPr="000674B5">
        <w:rPr>
          <w:rFonts w:cs="Times New Roman"/>
          <w:sz w:val="24"/>
          <w:szCs w:val="24"/>
        </w:rPr>
        <w:t>Acting as a setting and display for the goddess, the structure of the Parthenon itself embodies the act of worship to Athena. Much genius and effort was behind each detail of the Parthenon, making it the most unique all of Greek structures. While Perikles appointed Pheidias “general manager and general overseer” of the building program, other architects oversaw construction and are named by historians as “Iktinos (named by Pausanias, Plutarch, and Vitruvius), Kallikrates (Plutarch), and Karpio</w:t>
      </w:r>
      <w:r w:rsidR="00890FEE">
        <w:rPr>
          <w:rFonts w:cs="Times New Roman"/>
          <w:sz w:val="24"/>
          <w:szCs w:val="24"/>
        </w:rPr>
        <w:t>n (Vitruvius)</w:t>
      </w:r>
      <w:r w:rsidR="000674B5" w:rsidRPr="000674B5">
        <w:rPr>
          <w:rFonts w:cs="Times New Roman"/>
          <w:sz w:val="24"/>
          <w:szCs w:val="24"/>
        </w:rPr>
        <w:t>.</w:t>
      </w:r>
      <w:r w:rsidR="00890FEE">
        <w:rPr>
          <w:rFonts w:cs="Times New Roman"/>
          <w:sz w:val="24"/>
          <w:szCs w:val="24"/>
        </w:rPr>
        <w:t>”</w:t>
      </w:r>
      <w:r w:rsidR="00890FEE">
        <w:rPr>
          <w:rStyle w:val="FootnoteReference"/>
          <w:rFonts w:cs="Times New Roman"/>
          <w:sz w:val="24"/>
          <w:szCs w:val="24"/>
        </w:rPr>
        <w:footnoteReference w:id="76"/>
      </w:r>
      <w:r w:rsidR="000674B5" w:rsidRPr="000674B5">
        <w:rPr>
          <w:rFonts w:cs="Times New Roman"/>
          <w:sz w:val="24"/>
          <w:szCs w:val="24"/>
        </w:rPr>
        <w:t xml:space="preserve"> Plutarch lists the many materials, artists, and labors.</w:t>
      </w:r>
      <w:r w:rsidR="00890FEE">
        <w:rPr>
          <w:rStyle w:val="FootnoteReference"/>
          <w:rFonts w:cs="Times New Roman"/>
          <w:sz w:val="24"/>
          <w:szCs w:val="24"/>
        </w:rPr>
        <w:footnoteReference w:id="77"/>
      </w:r>
      <w:r w:rsidR="000674B5" w:rsidRPr="000674B5">
        <w:rPr>
          <w:rFonts w:cs="Times New Roman"/>
          <w:sz w:val="24"/>
          <w:szCs w:val="24"/>
        </w:rPr>
        <w:t xml:space="preserve"> With their expertise, the structure </w:t>
      </w:r>
      <w:proofErr w:type="gramStart"/>
      <w:r w:rsidR="000674B5" w:rsidRPr="000674B5">
        <w:rPr>
          <w:rFonts w:cs="Times New Roman"/>
          <w:sz w:val="24"/>
          <w:szCs w:val="24"/>
        </w:rPr>
        <w:t>was completed in ten years, begun in 447</w:t>
      </w:r>
      <w:r w:rsidR="000674B5">
        <w:rPr>
          <w:rFonts w:cs="Times New Roman"/>
          <w:sz w:val="24"/>
          <w:szCs w:val="24"/>
        </w:rPr>
        <w:t>, and dedicated in 438</w:t>
      </w:r>
      <w:r w:rsidR="000674B5" w:rsidRPr="000674B5">
        <w:rPr>
          <w:rFonts w:cs="Times New Roman"/>
          <w:sz w:val="24"/>
          <w:szCs w:val="24"/>
        </w:rPr>
        <w:t xml:space="preserve">, with the remaining sculptures completed </w:t>
      </w:r>
      <w:r w:rsidR="00644BB9">
        <w:rPr>
          <w:rFonts w:cs="Times New Roman"/>
          <w:sz w:val="24"/>
          <w:szCs w:val="24"/>
        </w:rPr>
        <w:t>by</w:t>
      </w:r>
      <w:r w:rsidR="000674B5" w:rsidRPr="000674B5">
        <w:rPr>
          <w:rFonts w:cs="Times New Roman"/>
          <w:sz w:val="24"/>
          <w:szCs w:val="24"/>
        </w:rPr>
        <w:t xml:space="preserve"> </w:t>
      </w:r>
      <w:r w:rsidR="000674B5">
        <w:rPr>
          <w:rFonts w:cs="Times New Roman"/>
          <w:sz w:val="24"/>
          <w:szCs w:val="24"/>
        </w:rPr>
        <w:t>432-431</w:t>
      </w:r>
      <w:proofErr w:type="gramEnd"/>
      <w:r w:rsidR="000674B5" w:rsidRPr="000674B5">
        <w:rPr>
          <w:rFonts w:cs="Times New Roman"/>
          <w:sz w:val="24"/>
          <w:szCs w:val="24"/>
        </w:rPr>
        <w:t>. The oblong Doric temple with various Ionic elements</w:t>
      </w:r>
      <w:r w:rsidR="000F786C">
        <w:rPr>
          <w:rStyle w:val="FootnoteReference"/>
          <w:rFonts w:cs="Times New Roman"/>
          <w:sz w:val="24"/>
          <w:szCs w:val="24"/>
        </w:rPr>
        <w:footnoteReference w:id="78"/>
      </w:r>
      <w:r w:rsidR="000674B5" w:rsidRPr="000674B5">
        <w:rPr>
          <w:rFonts w:cs="Times New Roman"/>
          <w:sz w:val="24"/>
          <w:szCs w:val="24"/>
        </w:rPr>
        <w:t xml:space="preserve"> rests </w:t>
      </w:r>
      <w:r w:rsidR="00B34459">
        <w:rPr>
          <w:rFonts w:cs="Times New Roman"/>
          <w:sz w:val="24"/>
          <w:szCs w:val="24"/>
        </w:rPr>
        <w:t>450 feet</w:t>
      </w:r>
      <w:r w:rsidR="000674B5" w:rsidRPr="000674B5">
        <w:rPr>
          <w:rFonts w:cs="Times New Roman"/>
          <w:sz w:val="24"/>
          <w:szCs w:val="24"/>
        </w:rPr>
        <w:t xml:space="preserve"> above sea level measuring </w:t>
      </w:r>
      <w:r w:rsidR="00B34459">
        <w:rPr>
          <w:rFonts w:cs="Times New Roman"/>
          <w:sz w:val="24"/>
          <w:szCs w:val="24"/>
        </w:rPr>
        <w:t>238</w:t>
      </w:r>
      <w:r w:rsidR="000674B5" w:rsidRPr="000674B5">
        <w:rPr>
          <w:rFonts w:cs="Times New Roman"/>
          <w:sz w:val="24"/>
          <w:szCs w:val="24"/>
        </w:rPr>
        <w:t xml:space="preserve"> feet long by </w:t>
      </w:r>
      <w:r w:rsidR="00B34459">
        <w:rPr>
          <w:rFonts w:cs="Times New Roman"/>
          <w:sz w:val="24"/>
          <w:szCs w:val="24"/>
        </w:rPr>
        <w:t>111 feet wide by 65</w:t>
      </w:r>
      <w:r w:rsidR="000674B5" w:rsidRPr="000674B5">
        <w:rPr>
          <w:rFonts w:cs="Times New Roman"/>
          <w:sz w:val="24"/>
          <w:szCs w:val="24"/>
        </w:rPr>
        <w:t xml:space="preserve"> feet tall, measuring to the peak of the pediments, and including the lower steps. Three key elements </w:t>
      </w:r>
      <w:r w:rsidR="0066597C">
        <w:rPr>
          <w:rFonts w:cs="Times New Roman"/>
          <w:sz w:val="24"/>
          <w:szCs w:val="24"/>
        </w:rPr>
        <w:t>distinguish</w:t>
      </w:r>
      <w:r w:rsidR="000674B5" w:rsidRPr="000674B5">
        <w:rPr>
          <w:rFonts w:cs="Times New Roman"/>
          <w:sz w:val="24"/>
          <w:szCs w:val="24"/>
        </w:rPr>
        <w:t xml:space="preserve"> this temple from all others in Greece – the plan, the refinements, and the sculptures.</w:t>
      </w:r>
    </w:p>
    <w:p w:rsidR="005C06F6" w:rsidRDefault="00E6571B" w:rsidP="005C06F6">
      <w:pPr>
        <w:keepNext/>
        <w:suppressLineNumbers/>
        <w:spacing w:line="480" w:lineRule="auto"/>
        <w:ind w:firstLine="720"/>
        <w:contextualSpacing/>
      </w:pPr>
      <w:r>
        <w:rPr>
          <w:rFonts w:cs="Times New Roman"/>
          <w:noProof/>
          <w:sz w:val="24"/>
          <w:szCs w:val="24"/>
        </w:rPr>
        <w:lastRenderedPageBreak/>
        <w:drawing>
          <wp:inline distT="0" distB="0" distL="0" distR="0" wp14:anchorId="61A343E5" wp14:editId="4F708FAB">
            <wp:extent cx="5200650" cy="4092178"/>
            <wp:effectExtent l="0" t="0" r="0" b="3810"/>
            <wp:docPr id="23" name="Picture 23" descr="C:\Users\Luke\Desktop\Stillman Parthen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Luke\Desktop\Stillman Parthenon.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00668" cy="4092193"/>
                    </a:xfrm>
                    <a:prstGeom prst="rect">
                      <a:avLst/>
                    </a:prstGeom>
                    <a:noFill/>
                    <a:ln>
                      <a:noFill/>
                    </a:ln>
                    <a:effectLst>
                      <a:softEdge rad="63500"/>
                    </a:effectLst>
                  </pic:spPr>
                </pic:pic>
              </a:graphicData>
            </a:graphic>
          </wp:inline>
        </w:drawing>
      </w:r>
    </w:p>
    <w:p w:rsidR="005C06F6" w:rsidRPr="000F0288" w:rsidRDefault="005C06F6" w:rsidP="000F0288">
      <w:pPr>
        <w:pStyle w:val="Heading2"/>
        <w:jc w:val="center"/>
      </w:pPr>
      <w:bookmarkStart w:id="67" w:name="_Toc468630839"/>
      <w:bookmarkStart w:id="68" w:name="_Toc468649005"/>
      <w:r w:rsidRPr="000F0288">
        <w:t>Figure 3</w:t>
      </w:r>
      <w:r w:rsidR="00647BE6" w:rsidRPr="000F0288">
        <w:noBreakHyphen/>
      </w:r>
      <w:r w:rsidR="00430F28" w:rsidRPr="000F0288">
        <w:t>5</w:t>
      </w:r>
      <w:r w:rsidR="000F0288" w:rsidRPr="000F0288">
        <w:t>:</w:t>
      </w:r>
      <w:r w:rsidRPr="000F0288">
        <w:t xml:space="preserve"> The Eastern Entrance to the Parthenon</w:t>
      </w:r>
      <w:bookmarkEnd w:id="67"/>
      <w:bookmarkEnd w:id="68"/>
    </w:p>
    <w:p w:rsidR="005C06F6" w:rsidRPr="00501BCB" w:rsidRDefault="005C06F6" w:rsidP="005C06F6">
      <w:pPr>
        <w:suppressLineNumbers/>
        <w:spacing w:line="240" w:lineRule="auto"/>
        <w:contextualSpacing/>
        <w:jc w:val="center"/>
        <w:rPr>
          <w:rFonts w:cs="Times New Roman"/>
          <w:color w:val="548DD4" w:themeColor="text2" w:themeTint="99"/>
          <w:sz w:val="32"/>
          <w:szCs w:val="24"/>
        </w:rPr>
      </w:pPr>
      <w:proofErr w:type="gramStart"/>
      <w:r w:rsidRPr="00501BCB">
        <w:rPr>
          <w:rFonts w:cs="Times New Roman"/>
          <w:color w:val="548DD4" w:themeColor="text2" w:themeTint="99"/>
          <w:sz w:val="24"/>
          <w:szCs w:val="24"/>
        </w:rPr>
        <w:t>Courtesy of the Nashville Parthenon.</w:t>
      </w:r>
      <w:proofErr w:type="gramEnd"/>
      <w:r w:rsidRPr="00501BCB">
        <w:rPr>
          <w:rFonts w:cs="Times New Roman"/>
          <w:color w:val="548DD4" w:themeColor="text2" w:themeTint="99"/>
          <w:sz w:val="24"/>
          <w:szCs w:val="24"/>
        </w:rPr>
        <w:t xml:space="preserve"> William James </w:t>
      </w:r>
      <w:proofErr w:type="spellStart"/>
      <w:r w:rsidRPr="00501BCB">
        <w:rPr>
          <w:rFonts w:cs="Times New Roman"/>
          <w:color w:val="548DD4" w:themeColor="text2" w:themeTint="99"/>
          <w:sz w:val="24"/>
          <w:szCs w:val="24"/>
        </w:rPr>
        <w:t>Stillman</w:t>
      </w:r>
      <w:proofErr w:type="spellEnd"/>
      <w:r w:rsidRPr="00501BCB">
        <w:rPr>
          <w:rFonts w:cs="Times New Roman"/>
          <w:color w:val="548DD4" w:themeColor="text2" w:themeTint="99"/>
          <w:sz w:val="24"/>
          <w:szCs w:val="24"/>
        </w:rPr>
        <w:t xml:space="preserve">, </w:t>
      </w:r>
      <w:r w:rsidRPr="00501BCB">
        <w:rPr>
          <w:rFonts w:cs="Times New Roman"/>
          <w:i/>
          <w:color w:val="548DD4" w:themeColor="text2" w:themeTint="99"/>
          <w:sz w:val="24"/>
          <w:szCs w:val="24"/>
        </w:rPr>
        <w:t>The Acropolis of Athens, Illustrated Picturesquely and Architecturally in Photography</w:t>
      </w:r>
      <w:r w:rsidRPr="00501BCB">
        <w:rPr>
          <w:rFonts w:cs="Times New Roman"/>
          <w:color w:val="548DD4" w:themeColor="text2" w:themeTint="99"/>
          <w:sz w:val="24"/>
          <w:szCs w:val="24"/>
        </w:rPr>
        <w:t xml:space="preserve"> (Boston: Museum of Fine Arts, 1870)</w:t>
      </w:r>
      <w:r>
        <w:rPr>
          <w:rFonts w:cs="Times New Roman"/>
          <w:color w:val="548DD4" w:themeColor="text2" w:themeTint="99"/>
          <w:sz w:val="24"/>
          <w:szCs w:val="24"/>
        </w:rPr>
        <w:t>.</w:t>
      </w:r>
      <w:r w:rsidRPr="00501BCB">
        <w:rPr>
          <w:rFonts w:cs="Times New Roman"/>
          <w:color w:val="548DD4" w:themeColor="text2" w:themeTint="99"/>
          <w:sz w:val="24"/>
          <w:szCs w:val="24"/>
        </w:rPr>
        <w:t xml:space="preserve"> </w:t>
      </w:r>
      <w:proofErr w:type="gramStart"/>
      <w:r w:rsidRPr="005C06F6">
        <w:rPr>
          <w:rFonts w:cs="Times New Roman"/>
          <w:i/>
          <w:color w:val="548DD4" w:themeColor="text2" w:themeTint="99"/>
          <w:sz w:val="24"/>
          <w:szCs w:val="24"/>
        </w:rPr>
        <w:t>The Eastern Entrance to the Parthenon</w:t>
      </w:r>
      <w:r w:rsidRPr="00501BCB">
        <w:rPr>
          <w:rFonts w:cs="Times New Roman"/>
          <w:i/>
          <w:color w:val="548DD4" w:themeColor="text2" w:themeTint="99"/>
          <w:sz w:val="24"/>
          <w:szCs w:val="24"/>
        </w:rPr>
        <w:t>.</w:t>
      </w:r>
      <w:proofErr w:type="gramEnd"/>
    </w:p>
    <w:p w:rsidR="005C06F6" w:rsidRPr="005C06F6" w:rsidRDefault="005C06F6" w:rsidP="005C06F6"/>
    <w:p w:rsidR="00C12AD3" w:rsidRDefault="00C12AD3" w:rsidP="005C06F6">
      <w:pPr>
        <w:suppressLineNumbers/>
        <w:spacing w:line="480" w:lineRule="auto"/>
        <w:contextualSpacing/>
        <w:rPr>
          <w:rFonts w:cs="Times New Roman"/>
          <w:sz w:val="24"/>
          <w:szCs w:val="24"/>
        </w:rPr>
      </w:pPr>
    </w:p>
    <w:p w:rsidR="00C86B5E" w:rsidRDefault="000961A2" w:rsidP="00890FEE">
      <w:pPr>
        <w:suppressLineNumbers/>
        <w:spacing w:line="480" w:lineRule="auto"/>
        <w:ind w:firstLine="720"/>
        <w:contextualSpacing/>
        <w:rPr>
          <w:rFonts w:cs="Times New Roman"/>
          <w:sz w:val="24"/>
          <w:szCs w:val="24"/>
        </w:rPr>
      </w:pPr>
      <w:r>
        <w:rPr>
          <w:rFonts w:cs="Times New Roman"/>
          <w:sz w:val="24"/>
          <w:szCs w:val="24"/>
        </w:rPr>
        <w:t>E</w:t>
      </w:r>
      <w:r w:rsidRPr="000961A2">
        <w:rPr>
          <w:rFonts w:cs="Times New Roman"/>
          <w:sz w:val="24"/>
          <w:szCs w:val="24"/>
        </w:rPr>
        <w:t xml:space="preserve">ntering the </w:t>
      </w:r>
      <w:r w:rsidRPr="000F786C">
        <w:rPr>
          <w:rFonts w:cs="Times New Roman"/>
          <w:i/>
          <w:sz w:val="24"/>
          <w:szCs w:val="24"/>
        </w:rPr>
        <w:t>hekatompedes naos</w:t>
      </w:r>
      <w:r w:rsidRPr="000961A2">
        <w:rPr>
          <w:rFonts w:cs="Times New Roman"/>
          <w:sz w:val="24"/>
          <w:szCs w:val="24"/>
        </w:rPr>
        <w:t>,</w:t>
      </w:r>
      <w:r w:rsidR="00733DB3" w:rsidRPr="00B25D7B">
        <w:rPr>
          <w:rStyle w:val="FootnoteReference"/>
          <w:rFonts w:cs="Times New Roman"/>
          <w:sz w:val="24"/>
          <w:szCs w:val="24"/>
        </w:rPr>
        <w:footnoteReference w:id="79"/>
      </w:r>
      <w:r w:rsidRPr="000961A2">
        <w:rPr>
          <w:rFonts w:cs="Times New Roman"/>
          <w:sz w:val="24"/>
          <w:szCs w:val="24"/>
        </w:rPr>
        <w:t xml:space="preserve"> </w:t>
      </w:r>
      <w:r w:rsidR="00CA6805">
        <w:rPr>
          <w:rFonts w:cs="Times New Roman"/>
          <w:sz w:val="24"/>
          <w:szCs w:val="24"/>
        </w:rPr>
        <w:t>one’s</w:t>
      </w:r>
      <w:r w:rsidRPr="000961A2">
        <w:rPr>
          <w:rFonts w:cs="Times New Roman"/>
          <w:sz w:val="24"/>
          <w:szCs w:val="24"/>
        </w:rPr>
        <w:t xml:space="preserve"> attention </w:t>
      </w:r>
      <w:proofErr w:type="gramStart"/>
      <w:r w:rsidR="00F215EB">
        <w:rPr>
          <w:rFonts w:cs="Times New Roman"/>
          <w:sz w:val="24"/>
          <w:szCs w:val="24"/>
        </w:rPr>
        <w:t xml:space="preserve">was immediately </w:t>
      </w:r>
      <w:r w:rsidRPr="000961A2">
        <w:rPr>
          <w:rFonts w:cs="Times New Roman"/>
          <w:sz w:val="24"/>
          <w:szCs w:val="24"/>
        </w:rPr>
        <w:t>drawn</w:t>
      </w:r>
      <w:proofErr w:type="gramEnd"/>
      <w:r w:rsidRPr="000961A2">
        <w:rPr>
          <w:rFonts w:cs="Times New Roman"/>
          <w:sz w:val="24"/>
          <w:szCs w:val="24"/>
        </w:rPr>
        <w:t xml:space="preserve"> to the goddess Athena. </w:t>
      </w:r>
      <w:r w:rsidR="00CA6805">
        <w:rPr>
          <w:rFonts w:cs="Times New Roman"/>
          <w:sz w:val="24"/>
          <w:szCs w:val="24"/>
        </w:rPr>
        <w:t xml:space="preserve">Another major aspect </w:t>
      </w:r>
      <w:r w:rsidRPr="000961A2">
        <w:rPr>
          <w:rFonts w:cs="Times New Roman"/>
          <w:sz w:val="24"/>
          <w:szCs w:val="24"/>
        </w:rPr>
        <w:t xml:space="preserve">of the room is the two-tier Doric colonnade format with ten columns along the sides and three columns in the back behind the </w:t>
      </w:r>
      <w:r w:rsidRPr="000961A2">
        <w:rPr>
          <w:rFonts w:cs="Times New Roman"/>
          <w:sz w:val="24"/>
          <w:szCs w:val="24"/>
        </w:rPr>
        <w:lastRenderedPageBreak/>
        <w:t xml:space="preserve">statue of Athena, creating a backdrop. The architrave between the two levels of Doric columns (also with twenty flutes each) leads the mind’s eye directly to the statue of Athena, especially when viewing from the doorway. These optical illusions </w:t>
      </w:r>
      <w:r w:rsidR="00B40829">
        <w:rPr>
          <w:rFonts w:cs="Times New Roman"/>
          <w:sz w:val="24"/>
          <w:szCs w:val="24"/>
        </w:rPr>
        <w:t>were</w:t>
      </w:r>
      <w:r w:rsidRPr="000961A2">
        <w:rPr>
          <w:rFonts w:cs="Times New Roman"/>
          <w:sz w:val="24"/>
          <w:szCs w:val="24"/>
        </w:rPr>
        <w:t xml:space="preserve"> inherent in the smallest detail to shift all focus to the statue of Athena. Furthermore, windows were probably at the upper east end to provide more light </w:t>
      </w:r>
      <w:r w:rsidR="00B40829">
        <w:rPr>
          <w:rFonts w:cs="Times New Roman"/>
          <w:sz w:val="24"/>
          <w:szCs w:val="24"/>
        </w:rPr>
        <w:t>for</w:t>
      </w:r>
      <w:r w:rsidRPr="000961A2">
        <w:rPr>
          <w:rFonts w:cs="Times New Roman"/>
          <w:sz w:val="24"/>
          <w:szCs w:val="24"/>
        </w:rPr>
        <w:t xml:space="preserve"> the </w:t>
      </w:r>
      <w:r w:rsidR="00B40829">
        <w:rPr>
          <w:rFonts w:cs="Times New Roman"/>
          <w:sz w:val="24"/>
          <w:szCs w:val="24"/>
        </w:rPr>
        <w:t xml:space="preserve">sacred </w:t>
      </w:r>
      <w:r w:rsidR="008A1AC5">
        <w:rPr>
          <w:rFonts w:cs="Times New Roman"/>
          <w:sz w:val="24"/>
          <w:szCs w:val="24"/>
        </w:rPr>
        <w:t>image</w:t>
      </w:r>
      <w:r w:rsidR="004C1086">
        <w:rPr>
          <w:rFonts w:cs="Times New Roman"/>
          <w:sz w:val="24"/>
          <w:szCs w:val="24"/>
        </w:rPr>
        <w:t xml:space="preserve">, </w:t>
      </w:r>
      <w:r w:rsidR="001E2434">
        <w:rPr>
          <w:rFonts w:cs="Times New Roman"/>
          <w:sz w:val="24"/>
          <w:szCs w:val="24"/>
        </w:rPr>
        <w:t>while also</w:t>
      </w:r>
      <w:r w:rsidRPr="000961A2">
        <w:rPr>
          <w:rFonts w:cs="Times New Roman"/>
          <w:sz w:val="24"/>
          <w:szCs w:val="24"/>
        </w:rPr>
        <w:t xml:space="preserve"> providing enough light for the large recessed reflecting pool in the floor in front of her podium.</w:t>
      </w:r>
    </w:p>
    <w:p w:rsidR="0093024B" w:rsidRDefault="00C86B5E" w:rsidP="003925A9">
      <w:pPr>
        <w:keepNext/>
        <w:suppressLineNumbers/>
        <w:spacing w:line="480" w:lineRule="auto"/>
        <w:contextualSpacing/>
        <w:jc w:val="center"/>
      </w:pPr>
      <w:r>
        <w:rPr>
          <w:rFonts w:cs="Times New Roman"/>
          <w:noProof/>
          <w:sz w:val="24"/>
          <w:szCs w:val="24"/>
        </w:rPr>
        <w:drawing>
          <wp:inline distT="0" distB="0" distL="0" distR="0" wp14:anchorId="2C44670B" wp14:editId="5731D541">
            <wp:extent cx="3406588" cy="4179042"/>
            <wp:effectExtent l="0" t="0" r="3810" b="0"/>
            <wp:docPr id="24" name="Picture 24" descr="C:\Users\Luke\Desktop\Stillman West Portico Parthen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Luke\Desktop\Stillman West Portico Parthenon.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10800" cy="4184209"/>
                    </a:xfrm>
                    <a:prstGeom prst="rect">
                      <a:avLst/>
                    </a:prstGeom>
                    <a:ln>
                      <a:noFill/>
                    </a:ln>
                    <a:effectLst>
                      <a:softEdge rad="63500"/>
                    </a:effectLst>
                  </pic:spPr>
                </pic:pic>
              </a:graphicData>
            </a:graphic>
          </wp:inline>
        </w:drawing>
      </w:r>
    </w:p>
    <w:p w:rsidR="0093024B" w:rsidRPr="000F0288" w:rsidRDefault="00563865" w:rsidP="000F0288">
      <w:pPr>
        <w:pStyle w:val="Heading2"/>
        <w:jc w:val="center"/>
      </w:pPr>
      <w:bookmarkStart w:id="69" w:name="_Toc468630840"/>
      <w:bookmarkStart w:id="70" w:name="_Toc468649006"/>
      <w:r w:rsidRPr="000F0288">
        <w:t>Figure 3</w:t>
      </w:r>
      <w:r w:rsidR="00647BE6" w:rsidRPr="000F0288">
        <w:noBreakHyphen/>
      </w:r>
      <w:r w:rsidR="00430F28" w:rsidRPr="000F0288">
        <w:t>6</w:t>
      </w:r>
      <w:r w:rsidR="000F0288" w:rsidRPr="000F0288">
        <w:t>:</w:t>
      </w:r>
      <w:r w:rsidR="0093024B" w:rsidRPr="000F0288">
        <w:t xml:space="preserve"> Western Portico of the Parthenon</w:t>
      </w:r>
      <w:bookmarkEnd w:id="69"/>
      <w:bookmarkEnd w:id="70"/>
    </w:p>
    <w:p w:rsidR="0093024B" w:rsidRPr="00501BCB" w:rsidRDefault="0093024B" w:rsidP="0093024B">
      <w:pPr>
        <w:suppressLineNumbers/>
        <w:spacing w:line="240" w:lineRule="auto"/>
        <w:contextualSpacing/>
        <w:jc w:val="center"/>
        <w:rPr>
          <w:rFonts w:cs="Times New Roman"/>
          <w:color w:val="548DD4" w:themeColor="text2" w:themeTint="99"/>
          <w:sz w:val="32"/>
          <w:szCs w:val="24"/>
        </w:rPr>
      </w:pPr>
      <w:proofErr w:type="gramStart"/>
      <w:r w:rsidRPr="00501BCB">
        <w:rPr>
          <w:rFonts w:cs="Times New Roman"/>
          <w:color w:val="548DD4" w:themeColor="text2" w:themeTint="99"/>
          <w:sz w:val="24"/>
          <w:szCs w:val="24"/>
        </w:rPr>
        <w:t>Courtesy of the Nashville Parthenon.</w:t>
      </w:r>
      <w:proofErr w:type="gramEnd"/>
      <w:r w:rsidRPr="00501BCB">
        <w:rPr>
          <w:rFonts w:cs="Times New Roman"/>
          <w:color w:val="548DD4" w:themeColor="text2" w:themeTint="99"/>
          <w:sz w:val="24"/>
          <w:szCs w:val="24"/>
        </w:rPr>
        <w:t xml:space="preserve"> William James </w:t>
      </w:r>
      <w:proofErr w:type="spellStart"/>
      <w:r w:rsidRPr="00501BCB">
        <w:rPr>
          <w:rFonts w:cs="Times New Roman"/>
          <w:color w:val="548DD4" w:themeColor="text2" w:themeTint="99"/>
          <w:sz w:val="24"/>
          <w:szCs w:val="24"/>
        </w:rPr>
        <w:t>Stillman</w:t>
      </w:r>
      <w:proofErr w:type="spellEnd"/>
      <w:r w:rsidRPr="00501BCB">
        <w:rPr>
          <w:rFonts w:cs="Times New Roman"/>
          <w:color w:val="548DD4" w:themeColor="text2" w:themeTint="99"/>
          <w:sz w:val="24"/>
          <w:szCs w:val="24"/>
        </w:rPr>
        <w:t xml:space="preserve">, </w:t>
      </w:r>
      <w:r w:rsidRPr="00501BCB">
        <w:rPr>
          <w:rFonts w:cs="Times New Roman"/>
          <w:i/>
          <w:color w:val="548DD4" w:themeColor="text2" w:themeTint="99"/>
          <w:sz w:val="24"/>
          <w:szCs w:val="24"/>
        </w:rPr>
        <w:t>The Acropolis of Athens, Illustrated Picturesquely and Architecturally in Photography</w:t>
      </w:r>
      <w:r w:rsidRPr="00501BCB">
        <w:rPr>
          <w:rFonts w:cs="Times New Roman"/>
          <w:color w:val="548DD4" w:themeColor="text2" w:themeTint="99"/>
          <w:sz w:val="24"/>
          <w:szCs w:val="24"/>
        </w:rPr>
        <w:t xml:space="preserve"> (Boston: Museum of Fine Arts, 1870)</w:t>
      </w:r>
      <w:r>
        <w:rPr>
          <w:rFonts w:cs="Times New Roman"/>
          <w:color w:val="548DD4" w:themeColor="text2" w:themeTint="99"/>
          <w:sz w:val="24"/>
          <w:szCs w:val="24"/>
        </w:rPr>
        <w:t>.</w:t>
      </w:r>
      <w:r w:rsidRPr="00501BCB">
        <w:rPr>
          <w:rFonts w:cs="Times New Roman"/>
          <w:color w:val="548DD4" w:themeColor="text2" w:themeTint="99"/>
          <w:sz w:val="24"/>
          <w:szCs w:val="24"/>
        </w:rPr>
        <w:t xml:space="preserve"> </w:t>
      </w:r>
      <w:proofErr w:type="gramStart"/>
      <w:r w:rsidRPr="0093024B">
        <w:rPr>
          <w:rFonts w:cs="Times New Roman"/>
          <w:i/>
          <w:color w:val="548DD4" w:themeColor="text2" w:themeTint="99"/>
          <w:sz w:val="24"/>
          <w:szCs w:val="24"/>
        </w:rPr>
        <w:t>Western Portico of the Parthenon</w:t>
      </w:r>
      <w:r w:rsidRPr="00501BCB">
        <w:rPr>
          <w:rFonts w:cs="Times New Roman"/>
          <w:i/>
          <w:color w:val="548DD4" w:themeColor="text2" w:themeTint="99"/>
          <w:sz w:val="24"/>
          <w:szCs w:val="24"/>
        </w:rPr>
        <w:t>.</w:t>
      </w:r>
      <w:proofErr w:type="gramEnd"/>
    </w:p>
    <w:p w:rsidR="0093024B" w:rsidRPr="0093024B" w:rsidRDefault="0093024B" w:rsidP="0093024B"/>
    <w:p w:rsidR="000961A2" w:rsidRDefault="000961A2" w:rsidP="00890FEE">
      <w:pPr>
        <w:suppressLineNumbers/>
        <w:spacing w:line="480" w:lineRule="auto"/>
        <w:ind w:firstLine="720"/>
        <w:contextualSpacing/>
        <w:rPr>
          <w:rFonts w:cs="Times New Roman"/>
          <w:sz w:val="24"/>
          <w:szCs w:val="24"/>
        </w:rPr>
      </w:pPr>
      <w:r w:rsidRPr="000961A2">
        <w:rPr>
          <w:rFonts w:cs="Times New Roman"/>
          <w:sz w:val="24"/>
          <w:szCs w:val="24"/>
        </w:rPr>
        <w:lastRenderedPageBreak/>
        <w:t xml:space="preserve">Before the later title of “Parthenon” referred to the entire structure, it first referred </w:t>
      </w:r>
      <w:r w:rsidR="008D6899">
        <w:rPr>
          <w:rFonts w:cs="Times New Roman"/>
          <w:sz w:val="24"/>
          <w:szCs w:val="24"/>
        </w:rPr>
        <w:t xml:space="preserve">only </w:t>
      </w:r>
      <w:r w:rsidRPr="000961A2">
        <w:rPr>
          <w:rFonts w:cs="Times New Roman"/>
          <w:sz w:val="24"/>
          <w:szCs w:val="24"/>
        </w:rPr>
        <w:t>to the smaller back chamber. Considered as the re</w:t>
      </w:r>
      <w:r w:rsidR="00861696">
        <w:rPr>
          <w:rFonts w:cs="Times New Roman"/>
          <w:sz w:val="24"/>
          <w:szCs w:val="24"/>
        </w:rPr>
        <w:t xml:space="preserve">siding place of Athena, </w:t>
      </w:r>
      <w:r w:rsidRPr="000961A2">
        <w:rPr>
          <w:rFonts w:cs="Times New Roman"/>
          <w:sz w:val="24"/>
          <w:szCs w:val="24"/>
        </w:rPr>
        <w:t xml:space="preserve">it </w:t>
      </w:r>
      <w:proofErr w:type="gramStart"/>
      <w:r w:rsidRPr="000961A2">
        <w:rPr>
          <w:rFonts w:cs="Times New Roman"/>
          <w:sz w:val="24"/>
          <w:szCs w:val="24"/>
        </w:rPr>
        <w:t>was also used</w:t>
      </w:r>
      <w:proofErr w:type="gramEnd"/>
      <w:r w:rsidRPr="000961A2">
        <w:rPr>
          <w:rFonts w:cs="Times New Roman"/>
          <w:sz w:val="24"/>
          <w:szCs w:val="24"/>
        </w:rPr>
        <w:t xml:space="preserve"> to store the treasury of the city’s wealth.</w:t>
      </w:r>
      <w:r w:rsidR="000F5DE4">
        <w:rPr>
          <w:rFonts w:cs="Times New Roman"/>
          <w:sz w:val="24"/>
          <w:szCs w:val="24"/>
        </w:rPr>
        <w:t xml:space="preserve"> Concerning the actual use of the sacred temple in the function of the </w:t>
      </w:r>
      <w:r w:rsidR="00C93983">
        <w:rPr>
          <w:rFonts w:cs="Times New Roman"/>
          <w:sz w:val="24"/>
          <w:szCs w:val="24"/>
        </w:rPr>
        <w:t>Akropolis worship</w:t>
      </w:r>
      <w:r w:rsidR="000F5DE4">
        <w:rPr>
          <w:rFonts w:cs="Times New Roman"/>
          <w:sz w:val="24"/>
          <w:szCs w:val="24"/>
        </w:rPr>
        <w:t xml:space="preserve">, the title reveals some interesting implications. </w:t>
      </w:r>
      <w:r w:rsidR="00B1723F">
        <w:rPr>
          <w:rFonts w:cs="Times New Roman"/>
          <w:sz w:val="24"/>
          <w:szCs w:val="24"/>
        </w:rPr>
        <w:t xml:space="preserve">Originally, the sacred temple was referred to as “the temple” or </w:t>
      </w:r>
      <w:r w:rsidR="00B1723F" w:rsidRPr="00B1723F">
        <w:rPr>
          <w:rFonts w:cs="Times New Roman"/>
          <w:i/>
          <w:sz w:val="24"/>
          <w:szCs w:val="24"/>
        </w:rPr>
        <w:t xml:space="preserve">ho </w:t>
      </w:r>
      <w:proofErr w:type="spellStart"/>
      <w:r w:rsidR="00B1723F" w:rsidRPr="00B1723F">
        <w:rPr>
          <w:rFonts w:cs="Times New Roman"/>
          <w:i/>
          <w:sz w:val="24"/>
          <w:szCs w:val="24"/>
        </w:rPr>
        <w:t>neos</w:t>
      </w:r>
      <w:proofErr w:type="spellEnd"/>
      <w:r w:rsidR="00B1723F">
        <w:rPr>
          <w:rFonts w:cs="Times New Roman"/>
          <w:sz w:val="24"/>
          <w:szCs w:val="24"/>
        </w:rPr>
        <w:t xml:space="preserve"> or as the “Hundred-Footer or </w:t>
      </w:r>
      <w:proofErr w:type="spellStart"/>
      <w:r w:rsidR="00B1723F" w:rsidRPr="00B1723F">
        <w:rPr>
          <w:rFonts w:cs="Times New Roman"/>
          <w:i/>
          <w:sz w:val="24"/>
          <w:szCs w:val="24"/>
        </w:rPr>
        <w:t>Hekatompedos</w:t>
      </w:r>
      <w:proofErr w:type="spellEnd"/>
      <w:r w:rsidR="00B1723F">
        <w:rPr>
          <w:rFonts w:cs="Times New Roman"/>
          <w:sz w:val="24"/>
          <w:szCs w:val="24"/>
        </w:rPr>
        <w:t xml:space="preserve">, as the architects </w:t>
      </w:r>
      <w:proofErr w:type="spellStart"/>
      <w:r w:rsidR="00E725E8">
        <w:rPr>
          <w:rFonts w:cs="Times New Roman"/>
          <w:sz w:val="24"/>
          <w:szCs w:val="24"/>
        </w:rPr>
        <w:t>Mnesikles</w:t>
      </w:r>
      <w:proofErr w:type="spellEnd"/>
      <w:r w:rsidR="00E725E8">
        <w:rPr>
          <w:rFonts w:cs="Times New Roman"/>
          <w:sz w:val="24"/>
          <w:szCs w:val="24"/>
        </w:rPr>
        <w:t xml:space="preserve"> and Kallikrates referred to it in their treatise.</w:t>
      </w:r>
      <w:r w:rsidR="00B1723F">
        <w:rPr>
          <w:rStyle w:val="FootnoteReference"/>
          <w:rFonts w:cs="Times New Roman"/>
          <w:sz w:val="24"/>
          <w:szCs w:val="24"/>
        </w:rPr>
        <w:footnoteReference w:id="80"/>
      </w:r>
      <w:r w:rsidR="00B1723F">
        <w:rPr>
          <w:rFonts w:cs="Times New Roman"/>
          <w:sz w:val="24"/>
          <w:szCs w:val="24"/>
        </w:rPr>
        <w:t xml:space="preserve"> </w:t>
      </w:r>
      <w:r w:rsidR="00E725E8">
        <w:rPr>
          <w:rFonts w:cs="Times New Roman"/>
          <w:sz w:val="24"/>
          <w:szCs w:val="24"/>
        </w:rPr>
        <w:t>However, by the fourth century</w:t>
      </w:r>
      <w:r w:rsidR="008D6899">
        <w:rPr>
          <w:rFonts w:cs="Times New Roman"/>
          <w:sz w:val="24"/>
          <w:szCs w:val="24"/>
        </w:rPr>
        <w:t xml:space="preserve"> B.C., it</w:t>
      </w:r>
      <w:r w:rsidR="00E725E8">
        <w:rPr>
          <w:rFonts w:cs="Times New Roman"/>
          <w:sz w:val="24"/>
          <w:szCs w:val="24"/>
        </w:rPr>
        <w:t xml:space="preserve"> </w:t>
      </w:r>
      <w:proofErr w:type="gramStart"/>
      <w:r w:rsidR="00E725E8">
        <w:rPr>
          <w:rFonts w:cs="Times New Roman"/>
          <w:sz w:val="24"/>
          <w:szCs w:val="24"/>
        </w:rPr>
        <w:t xml:space="preserve">became </w:t>
      </w:r>
      <w:r w:rsidR="00602BAC">
        <w:rPr>
          <w:rFonts w:cs="Times New Roman"/>
          <w:sz w:val="24"/>
          <w:szCs w:val="24"/>
        </w:rPr>
        <w:t xml:space="preserve">wholly </w:t>
      </w:r>
      <w:r w:rsidR="00E725E8">
        <w:rPr>
          <w:rFonts w:cs="Times New Roman"/>
          <w:sz w:val="24"/>
          <w:szCs w:val="24"/>
        </w:rPr>
        <w:t>known</w:t>
      </w:r>
      <w:proofErr w:type="gramEnd"/>
      <w:r w:rsidR="00E725E8">
        <w:rPr>
          <w:rFonts w:cs="Times New Roman"/>
          <w:sz w:val="24"/>
          <w:szCs w:val="24"/>
        </w:rPr>
        <w:t xml:space="preserve"> as the Parthenon by Demosthenes in 345-344. </w:t>
      </w:r>
      <w:r w:rsidR="00C23A2C">
        <w:rPr>
          <w:rFonts w:cs="Times New Roman"/>
          <w:sz w:val="24"/>
          <w:szCs w:val="24"/>
        </w:rPr>
        <w:t xml:space="preserve">The translation of </w:t>
      </w:r>
      <w:proofErr w:type="gramStart"/>
      <w:r w:rsidR="00C23A2C" w:rsidRPr="00D66943">
        <w:rPr>
          <w:rFonts w:cs="Times New Roman"/>
          <w:i/>
          <w:sz w:val="24"/>
          <w:szCs w:val="24"/>
        </w:rPr>
        <w:t>parthenon</w:t>
      </w:r>
      <w:proofErr w:type="gramEnd"/>
      <w:r w:rsidR="00C23A2C">
        <w:rPr>
          <w:rFonts w:cs="Times New Roman"/>
          <w:sz w:val="24"/>
          <w:szCs w:val="24"/>
        </w:rPr>
        <w:t xml:space="preserve"> (πα</w:t>
      </w:r>
      <w:proofErr w:type="spellStart"/>
      <w:r w:rsidR="00C23A2C">
        <w:rPr>
          <w:rFonts w:cs="Times New Roman"/>
          <w:sz w:val="24"/>
          <w:szCs w:val="24"/>
        </w:rPr>
        <w:t>ρθενών</w:t>
      </w:r>
      <w:proofErr w:type="spellEnd"/>
      <w:r w:rsidR="00D66943">
        <w:rPr>
          <w:rFonts w:cs="Times New Roman"/>
          <w:sz w:val="24"/>
          <w:szCs w:val="24"/>
        </w:rPr>
        <w:t>)</w:t>
      </w:r>
      <w:r w:rsidR="00C23A2C">
        <w:rPr>
          <w:rFonts w:cs="Times New Roman"/>
          <w:sz w:val="24"/>
          <w:szCs w:val="24"/>
        </w:rPr>
        <w:t xml:space="preserve"> </w:t>
      </w:r>
      <w:r w:rsidR="00D66943">
        <w:rPr>
          <w:rFonts w:cs="Times New Roman"/>
          <w:sz w:val="24"/>
          <w:szCs w:val="24"/>
        </w:rPr>
        <w:t xml:space="preserve">is a “place of the maidens” in comparison to </w:t>
      </w:r>
      <w:proofErr w:type="spellStart"/>
      <w:r w:rsidR="00D66943" w:rsidRPr="00D66943">
        <w:rPr>
          <w:rFonts w:cs="Times New Roman"/>
          <w:i/>
          <w:sz w:val="24"/>
          <w:szCs w:val="24"/>
        </w:rPr>
        <w:t>parthenion</w:t>
      </w:r>
      <w:proofErr w:type="spellEnd"/>
      <w:r w:rsidR="00D66943">
        <w:rPr>
          <w:rFonts w:cs="Times New Roman"/>
          <w:sz w:val="24"/>
          <w:szCs w:val="24"/>
        </w:rPr>
        <w:t xml:space="preserve"> (</w:t>
      </w:r>
      <w:r w:rsidR="00C23A2C">
        <w:rPr>
          <w:rFonts w:cs="Times New Roman"/>
          <w:sz w:val="24"/>
          <w:szCs w:val="24"/>
        </w:rPr>
        <w:t>πα</w:t>
      </w:r>
      <w:proofErr w:type="spellStart"/>
      <w:r w:rsidR="00C23A2C">
        <w:rPr>
          <w:rFonts w:cs="Times New Roman"/>
          <w:sz w:val="24"/>
          <w:szCs w:val="24"/>
        </w:rPr>
        <w:t>ρθενιον</w:t>
      </w:r>
      <w:proofErr w:type="spellEnd"/>
      <w:r w:rsidR="00D66943">
        <w:rPr>
          <w:rFonts w:cs="Times New Roman"/>
          <w:sz w:val="24"/>
          <w:szCs w:val="24"/>
        </w:rPr>
        <w:t>)</w:t>
      </w:r>
      <w:r w:rsidR="003509EC">
        <w:rPr>
          <w:rFonts w:cs="Times New Roman"/>
          <w:sz w:val="24"/>
          <w:szCs w:val="24"/>
        </w:rPr>
        <w:t>,</w:t>
      </w:r>
      <w:r w:rsidR="00D66943">
        <w:rPr>
          <w:rFonts w:cs="Times New Roman"/>
          <w:sz w:val="24"/>
          <w:szCs w:val="24"/>
        </w:rPr>
        <w:t xml:space="preserve"> which translates “place of the maiden.”</w:t>
      </w:r>
      <w:r w:rsidR="00B1723F">
        <w:rPr>
          <w:rStyle w:val="FootnoteReference"/>
          <w:rFonts w:cs="Times New Roman"/>
          <w:sz w:val="24"/>
          <w:szCs w:val="24"/>
        </w:rPr>
        <w:footnoteReference w:id="81"/>
      </w:r>
      <w:r w:rsidR="00D66943">
        <w:rPr>
          <w:rFonts w:cs="Times New Roman"/>
          <w:sz w:val="24"/>
          <w:szCs w:val="24"/>
        </w:rPr>
        <w:t xml:space="preserve"> The plural of the word </w:t>
      </w:r>
      <w:r w:rsidR="0024380E">
        <w:rPr>
          <w:rFonts w:cs="Times New Roman"/>
          <w:sz w:val="24"/>
          <w:szCs w:val="24"/>
        </w:rPr>
        <w:t xml:space="preserve">(using the long “o” </w:t>
      </w:r>
      <w:r w:rsidR="0047192A" w:rsidRPr="0047192A">
        <w:rPr>
          <w:rFonts w:cs="Times New Roman"/>
          <w:i/>
          <w:sz w:val="24"/>
          <w:szCs w:val="24"/>
        </w:rPr>
        <w:t>omega</w:t>
      </w:r>
      <w:r w:rsidR="0047192A">
        <w:rPr>
          <w:rFonts w:cs="Times New Roman"/>
          <w:sz w:val="24"/>
          <w:szCs w:val="24"/>
        </w:rPr>
        <w:t xml:space="preserve">) </w:t>
      </w:r>
      <w:proofErr w:type="gramStart"/>
      <w:r w:rsidR="00861696" w:rsidRPr="00861696">
        <w:rPr>
          <w:rFonts w:cs="Times New Roman"/>
          <w:i/>
          <w:sz w:val="24"/>
          <w:szCs w:val="24"/>
        </w:rPr>
        <w:t>parthenon</w:t>
      </w:r>
      <w:proofErr w:type="gramEnd"/>
      <w:r w:rsidR="00861696">
        <w:rPr>
          <w:rFonts w:cs="Times New Roman"/>
          <w:i/>
          <w:sz w:val="24"/>
          <w:szCs w:val="24"/>
        </w:rPr>
        <w:t xml:space="preserve"> </w:t>
      </w:r>
      <w:r w:rsidR="00861696" w:rsidRPr="00861696">
        <w:rPr>
          <w:rFonts w:cs="Times New Roman"/>
          <w:sz w:val="24"/>
          <w:szCs w:val="24"/>
        </w:rPr>
        <w:t>could not mean the place of Athena alone</w:t>
      </w:r>
      <w:r w:rsidR="00861696">
        <w:rPr>
          <w:rFonts w:cs="Times New Roman"/>
          <w:i/>
          <w:sz w:val="24"/>
          <w:szCs w:val="24"/>
        </w:rPr>
        <w:t xml:space="preserve">. </w:t>
      </w:r>
      <w:r w:rsidR="00861696">
        <w:rPr>
          <w:rFonts w:cs="Times New Roman"/>
          <w:sz w:val="24"/>
          <w:szCs w:val="24"/>
        </w:rPr>
        <w:t xml:space="preserve">Regarding the actual use of the sacred space, the word could inform its role in ancient antiquity – something </w:t>
      </w:r>
      <w:proofErr w:type="gramStart"/>
      <w:r w:rsidR="00602BAC">
        <w:rPr>
          <w:rFonts w:cs="Times New Roman"/>
          <w:sz w:val="24"/>
          <w:szCs w:val="24"/>
        </w:rPr>
        <w:t>that</w:t>
      </w:r>
      <w:r w:rsidR="00861696">
        <w:rPr>
          <w:rFonts w:cs="Times New Roman"/>
          <w:sz w:val="24"/>
          <w:szCs w:val="24"/>
        </w:rPr>
        <w:t xml:space="preserve"> </w:t>
      </w:r>
      <w:r w:rsidR="00602BAC">
        <w:rPr>
          <w:rFonts w:cs="Times New Roman"/>
          <w:sz w:val="24"/>
          <w:szCs w:val="24"/>
        </w:rPr>
        <w:t>still</w:t>
      </w:r>
      <w:proofErr w:type="gramEnd"/>
      <w:r w:rsidR="00602BAC">
        <w:rPr>
          <w:rFonts w:cs="Times New Roman"/>
          <w:sz w:val="24"/>
          <w:szCs w:val="24"/>
        </w:rPr>
        <w:t xml:space="preserve"> </w:t>
      </w:r>
      <w:r w:rsidR="00861696">
        <w:rPr>
          <w:rFonts w:cs="Times New Roman"/>
          <w:sz w:val="24"/>
          <w:szCs w:val="24"/>
        </w:rPr>
        <w:t>remains a large mystery.</w:t>
      </w:r>
      <w:r w:rsidR="0024380E">
        <w:rPr>
          <w:rStyle w:val="FootnoteReference"/>
          <w:rFonts w:cs="Times New Roman"/>
          <w:sz w:val="24"/>
          <w:szCs w:val="24"/>
        </w:rPr>
        <w:footnoteReference w:id="82"/>
      </w:r>
      <w:r w:rsidR="00861696">
        <w:rPr>
          <w:rFonts w:cs="Times New Roman"/>
          <w:sz w:val="24"/>
          <w:szCs w:val="24"/>
        </w:rPr>
        <w:t xml:space="preserve"> </w:t>
      </w:r>
      <w:r w:rsidR="00145603">
        <w:rPr>
          <w:rFonts w:cs="Times New Roman"/>
          <w:sz w:val="24"/>
          <w:szCs w:val="24"/>
        </w:rPr>
        <w:t xml:space="preserve">Most </w:t>
      </w:r>
      <w:proofErr w:type="gramStart"/>
      <w:r w:rsidR="00145603">
        <w:rPr>
          <w:rFonts w:cs="Times New Roman"/>
          <w:sz w:val="24"/>
          <w:szCs w:val="24"/>
        </w:rPr>
        <w:t>likely</w:t>
      </w:r>
      <w:proofErr w:type="gramEnd"/>
      <w:r w:rsidR="00145603">
        <w:rPr>
          <w:rFonts w:cs="Times New Roman"/>
          <w:sz w:val="24"/>
          <w:szCs w:val="24"/>
        </w:rPr>
        <w:t xml:space="preserve"> the name refers to </w:t>
      </w:r>
      <w:r w:rsidR="006B3B14">
        <w:rPr>
          <w:rFonts w:cs="Times New Roman"/>
          <w:sz w:val="24"/>
          <w:szCs w:val="24"/>
        </w:rPr>
        <w:t xml:space="preserve">a cult gathering place for the maidens of Athens, as suggested by Adolf </w:t>
      </w:r>
      <w:proofErr w:type="spellStart"/>
      <w:r w:rsidR="006B3B14">
        <w:rPr>
          <w:rFonts w:cs="Times New Roman"/>
          <w:sz w:val="24"/>
          <w:szCs w:val="24"/>
        </w:rPr>
        <w:t>Furtwängler</w:t>
      </w:r>
      <w:proofErr w:type="spellEnd"/>
      <w:r w:rsidR="006B3B14">
        <w:rPr>
          <w:rFonts w:cs="Times New Roman"/>
          <w:sz w:val="24"/>
          <w:szCs w:val="24"/>
        </w:rPr>
        <w:t xml:space="preserve"> in 1839.</w:t>
      </w:r>
      <w:r w:rsidR="006B3B14">
        <w:rPr>
          <w:rStyle w:val="FootnoteReference"/>
          <w:rFonts w:cs="Times New Roman"/>
          <w:sz w:val="24"/>
          <w:szCs w:val="24"/>
        </w:rPr>
        <w:footnoteReference w:id="83"/>
      </w:r>
      <w:r w:rsidR="006535D6" w:rsidRPr="006535D6">
        <w:rPr>
          <w:rFonts w:cs="Times New Roman"/>
          <w:sz w:val="24"/>
          <w:szCs w:val="24"/>
        </w:rPr>
        <w:t xml:space="preserve"> </w:t>
      </w:r>
      <w:proofErr w:type="spellStart"/>
      <w:r w:rsidR="006535D6">
        <w:rPr>
          <w:rFonts w:cs="Times New Roman"/>
          <w:sz w:val="24"/>
          <w:szCs w:val="24"/>
        </w:rPr>
        <w:t>Furtwängler</w:t>
      </w:r>
      <w:proofErr w:type="spellEnd"/>
      <w:r w:rsidR="006535D6">
        <w:rPr>
          <w:rFonts w:cs="Times New Roman"/>
          <w:sz w:val="24"/>
          <w:szCs w:val="24"/>
        </w:rPr>
        <w:t xml:space="preserve"> even associated the daughters of </w:t>
      </w:r>
      <w:proofErr w:type="spellStart"/>
      <w:r w:rsidR="00336A1B" w:rsidRPr="00336A1B">
        <w:rPr>
          <w:rFonts w:cs="Times New Roman"/>
          <w:i/>
          <w:sz w:val="24"/>
          <w:szCs w:val="24"/>
        </w:rPr>
        <w:t>Eri</w:t>
      </w:r>
      <w:r w:rsidR="006535D6" w:rsidRPr="00336A1B">
        <w:rPr>
          <w:rFonts w:cs="Times New Roman"/>
          <w:i/>
          <w:sz w:val="24"/>
          <w:szCs w:val="24"/>
        </w:rPr>
        <w:t>chth</w:t>
      </w:r>
      <w:r w:rsidR="00336A1B" w:rsidRPr="00336A1B">
        <w:rPr>
          <w:rFonts w:cs="Times New Roman"/>
          <w:i/>
          <w:sz w:val="24"/>
          <w:szCs w:val="24"/>
        </w:rPr>
        <w:t>onios</w:t>
      </w:r>
      <w:proofErr w:type="spellEnd"/>
      <w:r w:rsidR="006535D6">
        <w:rPr>
          <w:rFonts w:cs="Times New Roman"/>
          <w:sz w:val="24"/>
          <w:szCs w:val="24"/>
        </w:rPr>
        <w:t>, one of the earliest legendary kings</w:t>
      </w:r>
      <w:r w:rsidR="00B6632E">
        <w:rPr>
          <w:rFonts w:cs="Times New Roman"/>
          <w:sz w:val="24"/>
          <w:szCs w:val="24"/>
        </w:rPr>
        <w:t xml:space="preserve"> credited with the founding of the Panathenaic festival, which connects to Euripides’ play </w:t>
      </w:r>
      <w:proofErr w:type="spellStart"/>
      <w:r w:rsidR="00B6632E" w:rsidRPr="00B6632E">
        <w:rPr>
          <w:rFonts w:cs="Times New Roman"/>
          <w:i/>
          <w:sz w:val="24"/>
          <w:szCs w:val="24"/>
        </w:rPr>
        <w:t>Erechtheus</w:t>
      </w:r>
      <w:proofErr w:type="spellEnd"/>
      <w:r w:rsidR="00B6632E">
        <w:rPr>
          <w:rFonts w:cs="Times New Roman"/>
          <w:sz w:val="24"/>
          <w:szCs w:val="24"/>
        </w:rPr>
        <w:t xml:space="preserve"> where </w:t>
      </w:r>
      <w:r w:rsidR="00300232">
        <w:rPr>
          <w:rFonts w:cs="Times New Roman"/>
          <w:sz w:val="24"/>
          <w:szCs w:val="24"/>
        </w:rPr>
        <w:t>Athena orders the</w:t>
      </w:r>
      <w:r w:rsidR="00B6632E">
        <w:rPr>
          <w:rFonts w:cs="Times New Roman"/>
          <w:sz w:val="24"/>
          <w:szCs w:val="24"/>
        </w:rPr>
        <w:t xml:space="preserve"> burial</w:t>
      </w:r>
      <w:r w:rsidR="00300232">
        <w:rPr>
          <w:rFonts w:cs="Times New Roman"/>
          <w:sz w:val="24"/>
          <w:szCs w:val="24"/>
        </w:rPr>
        <w:t xml:space="preserve"> of his daughters on the Akropolis in a special dedicated precinct. </w:t>
      </w:r>
      <w:r w:rsidR="0065598B">
        <w:rPr>
          <w:rFonts w:cs="Times New Roman"/>
          <w:sz w:val="24"/>
          <w:szCs w:val="24"/>
        </w:rPr>
        <w:t xml:space="preserve">Wilhelm </w:t>
      </w:r>
      <w:proofErr w:type="spellStart"/>
      <w:r w:rsidR="0065598B">
        <w:rPr>
          <w:rFonts w:cs="Times New Roman"/>
          <w:sz w:val="24"/>
          <w:szCs w:val="24"/>
        </w:rPr>
        <w:t>Dörpfeld</w:t>
      </w:r>
      <w:proofErr w:type="spellEnd"/>
      <w:r w:rsidR="0065598B">
        <w:rPr>
          <w:rFonts w:cs="Times New Roman"/>
          <w:sz w:val="24"/>
          <w:szCs w:val="24"/>
        </w:rPr>
        <w:t xml:space="preserve"> built upon this idea when asserting that the maidens of the temple were not mythical dead princess but </w:t>
      </w:r>
      <w:proofErr w:type="spellStart"/>
      <w:r w:rsidR="0065598B" w:rsidRPr="0065598B">
        <w:rPr>
          <w:rFonts w:cs="Times New Roman"/>
          <w:i/>
          <w:sz w:val="24"/>
          <w:szCs w:val="24"/>
        </w:rPr>
        <w:t>ergastinai</w:t>
      </w:r>
      <w:proofErr w:type="spellEnd"/>
      <w:r w:rsidR="0065598B">
        <w:rPr>
          <w:rFonts w:cs="Times New Roman"/>
          <w:sz w:val="24"/>
          <w:szCs w:val="24"/>
        </w:rPr>
        <w:t xml:space="preserve"> or “worker </w:t>
      </w:r>
      <w:r w:rsidR="0065598B">
        <w:rPr>
          <w:rFonts w:cs="Times New Roman"/>
          <w:sz w:val="24"/>
          <w:szCs w:val="24"/>
        </w:rPr>
        <w:lastRenderedPageBreak/>
        <w:t>women” who sewed the peplos for the Panathenaic festival, and that they weaved such cloth in the west rear chamber of the Parthenon.</w:t>
      </w:r>
      <w:r w:rsidR="0065598B">
        <w:rPr>
          <w:rStyle w:val="FootnoteReference"/>
          <w:rFonts w:cs="Times New Roman"/>
          <w:sz w:val="24"/>
          <w:szCs w:val="24"/>
        </w:rPr>
        <w:footnoteReference w:id="84"/>
      </w:r>
    </w:p>
    <w:p w:rsidR="00717B08" w:rsidRDefault="00D04510" w:rsidP="00717B08">
      <w:pPr>
        <w:suppressLineNumbers/>
        <w:spacing w:line="480" w:lineRule="auto"/>
        <w:ind w:firstLine="720"/>
        <w:contextualSpacing/>
        <w:rPr>
          <w:rFonts w:cs="Times New Roman"/>
          <w:sz w:val="24"/>
          <w:szCs w:val="24"/>
        </w:rPr>
      </w:pPr>
      <w:r>
        <w:rPr>
          <w:rFonts w:cs="Times New Roman"/>
          <w:sz w:val="24"/>
          <w:szCs w:val="24"/>
        </w:rPr>
        <w:t xml:space="preserve">This hypothesis is </w:t>
      </w:r>
      <w:proofErr w:type="gramStart"/>
      <w:r>
        <w:rPr>
          <w:rFonts w:cs="Times New Roman"/>
          <w:sz w:val="24"/>
          <w:szCs w:val="24"/>
        </w:rPr>
        <w:t>fairly substantial</w:t>
      </w:r>
      <w:proofErr w:type="gramEnd"/>
      <w:r>
        <w:rPr>
          <w:rFonts w:cs="Times New Roman"/>
          <w:sz w:val="24"/>
          <w:szCs w:val="24"/>
        </w:rPr>
        <w:t xml:space="preserve"> given what is known about the use of the Akropolis </w:t>
      </w:r>
      <w:r w:rsidR="00F63009">
        <w:rPr>
          <w:rFonts w:cs="Times New Roman"/>
          <w:sz w:val="24"/>
          <w:szCs w:val="24"/>
        </w:rPr>
        <w:t xml:space="preserve">in celebration of Athena. The Panathenaic festival was an ancient procession to the Akropolis led by maidens carrying the </w:t>
      </w:r>
      <w:r w:rsidR="00F63009" w:rsidRPr="00202044">
        <w:rPr>
          <w:rFonts w:cs="Times New Roman"/>
          <w:i/>
          <w:sz w:val="24"/>
          <w:szCs w:val="24"/>
        </w:rPr>
        <w:t>peplos</w:t>
      </w:r>
      <w:r w:rsidR="00F63009">
        <w:rPr>
          <w:rFonts w:cs="Times New Roman"/>
          <w:sz w:val="24"/>
          <w:szCs w:val="24"/>
        </w:rPr>
        <w:t xml:space="preserve"> or </w:t>
      </w:r>
      <w:r w:rsidR="00202044">
        <w:rPr>
          <w:rFonts w:cs="Times New Roman"/>
          <w:sz w:val="24"/>
          <w:szCs w:val="24"/>
        </w:rPr>
        <w:t>“</w:t>
      </w:r>
      <w:r w:rsidR="00F63009">
        <w:rPr>
          <w:rFonts w:cs="Times New Roman"/>
          <w:sz w:val="24"/>
          <w:szCs w:val="24"/>
        </w:rPr>
        <w:t>new robe</w:t>
      </w:r>
      <w:r w:rsidR="00202044">
        <w:rPr>
          <w:rFonts w:cs="Times New Roman"/>
          <w:sz w:val="24"/>
          <w:szCs w:val="24"/>
        </w:rPr>
        <w:t>”</w:t>
      </w:r>
      <w:r w:rsidR="00F63009">
        <w:rPr>
          <w:rFonts w:cs="Times New Roman"/>
          <w:sz w:val="24"/>
          <w:szCs w:val="24"/>
        </w:rPr>
        <w:t xml:space="preserve"> to dress the sculpture of Athena. But this large procession, as believed to </w:t>
      </w:r>
      <w:r w:rsidR="0025493C">
        <w:rPr>
          <w:rFonts w:cs="Times New Roman"/>
          <w:sz w:val="24"/>
          <w:szCs w:val="24"/>
        </w:rPr>
        <w:t xml:space="preserve">have been </w:t>
      </w:r>
      <w:r w:rsidR="00F63009">
        <w:rPr>
          <w:rFonts w:cs="Times New Roman"/>
          <w:sz w:val="24"/>
          <w:szCs w:val="24"/>
        </w:rPr>
        <w:t xml:space="preserve">depicted in the Parthenon’s Ionic frieze, </w:t>
      </w:r>
      <w:r w:rsidR="00202044">
        <w:rPr>
          <w:rFonts w:cs="Times New Roman"/>
          <w:sz w:val="24"/>
          <w:szCs w:val="24"/>
        </w:rPr>
        <w:t xml:space="preserve">did not clothe the bronze Athena, the image of Athena at the Temple of Athena </w:t>
      </w:r>
      <w:r w:rsidR="00202044" w:rsidRPr="009E6E94">
        <w:rPr>
          <w:rFonts w:cs="Times New Roman"/>
          <w:i/>
          <w:sz w:val="24"/>
          <w:szCs w:val="24"/>
        </w:rPr>
        <w:t>Nike</w:t>
      </w:r>
      <w:r w:rsidR="0025493C">
        <w:rPr>
          <w:rFonts w:cs="Times New Roman"/>
          <w:sz w:val="24"/>
          <w:szCs w:val="24"/>
        </w:rPr>
        <w:t>, or the large forty-</w:t>
      </w:r>
      <w:r w:rsidR="00202044">
        <w:rPr>
          <w:rFonts w:cs="Times New Roman"/>
          <w:sz w:val="24"/>
          <w:szCs w:val="24"/>
        </w:rPr>
        <w:t xml:space="preserve">foot ivory, gold, and gem imbedded statue of Athena in the Parthenon’s </w:t>
      </w:r>
      <w:r w:rsidR="00202044" w:rsidRPr="00F01F77">
        <w:rPr>
          <w:rFonts w:cs="Times New Roman"/>
          <w:i/>
          <w:sz w:val="24"/>
          <w:szCs w:val="24"/>
        </w:rPr>
        <w:t>hekatompedes naos</w:t>
      </w:r>
      <w:r w:rsidR="00202044">
        <w:rPr>
          <w:rFonts w:cs="Times New Roman"/>
          <w:sz w:val="24"/>
          <w:szCs w:val="24"/>
        </w:rPr>
        <w:t xml:space="preserve">. Instead, this </w:t>
      </w:r>
      <w:r w:rsidR="00202044" w:rsidRPr="00202044">
        <w:rPr>
          <w:rFonts w:cs="Times New Roman"/>
          <w:i/>
          <w:sz w:val="24"/>
          <w:szCs w:val="24"/>
        </w:rPr>
        <w:t>peplos</w:t>
      </w:r>
      <w:r w:rsidR="00202044">
        <w:rPr>
          <w:rFonts w:cs="Times New Roman"/>
          <w:sz w:val="24"/>
          <w:szCs w:val="24"/>
        </w:rPr>
        <w:t xml:space="preserve"> c</w:t>
      </w:r>
      <w:r w:rsidR="0091136C">
        <w:rPr>
          <w:rFonts w:cs="Times New Roman"/>
          <w:sz w:val="24"/>
          <w:szCs w:val="24"/>
        </w:rPr>
        <w:t>overed a more humble image of Athena – an ancient</w:t>
      </w:r>
      <w:r w:rsidR="002C3207">
        <w:rPr>
          <w:rFonts w:cs="Times New Roman"/>
          <w:sz w:val="24"/>
          <w:szCs w:val="24"/>
        </w:rPr>
        <w:t xml:space="preserve">, olive wood </w:t>
      </w:r>
      <w:r w:rsidR="0091136C">
        <w:rPr>
          <w:rFonts w:cs="Times New Roman"/>
          <w:sz w:val="24"/>
          <w:szCs w:val="24"/>
        </w:rPr>
        <w:t xml:space="preserve">sculpture image of Athena that </w:t>
      </w:r>
      <w:proofErr w:type="gramStart"/>
      <w:r w:rsidR="0091136C">
        <w:rPr>
          <w:rFonts w:cs="Times New Roman"/>
          <w:sz w:val="24"/>
          <w:szCs w:val="24"/>
        </w:rPr>
        <w:t>was</w:t>
      </w:r>
      <w:r w:rsidR="008F02B7">
        <w:rPr>
          <w:rFonts w:cs="Times New Roman"/>
          <w:sz w:val="24"/>
          <w:szCs w:val="24"/>
        </w:rPr>
        <w:t xml:space="preserve"> sacredly</w:t>
      </w:r>
      <w:r w:rsidR="0091136C">
        <w:rPr>
          <w:rFonts w:cs="Times New Roman"/>
          <w:sz w:val="24"/>
          <w:szCs w:val="24"/>
        </w:rPr>
        <w:t xml:space="preserve"> housed</w:t>
      </w:r>
      <w:proofErr w:type="gramEnd"/>
      <w:r w:rsidR="00465EC4">
        <w:rPr>
          <w:rFonts w:cs="Times New Roman"/>
          <w:sz w:val="24"/>
          <w:szCs w:val="24"/>
        </w:rPr>
        <w:t xml:space="preserve"> in the Ere</w:t>
      </w:r>
      <w:r w:rsidR="001D7E74">
        <w:rPr>
          <w:rFonts w:cs="Times New Roman"/>
          <w:sz w:val="24"/>
          <w:szCs w:val="24"/>
        </w:rPr>
        <w:t>chtheion after the building program.</w:t>
      </w:r>
      <w:r w:rsidR="001D7E74">
        <w:rPr>
          <w:rStyle w:val="FootnoteReference"/>
          <w:rFonts w:cs="Times New Roman"/>
          <w:sz w:val="24"/>
          <w:szCs w:val="24"/>
        </w:rPr>
        <w:footnoteReference w:id="85"/>
      </w:r>
      <w:r w:rsidR="001D7E74">
        <w:rPr>
          <w:rFonts w:cs="Times New Roman"/>
          <w:sz w:val="24"/>
          <w:szCs w:val="24"/>
        </w:rPr>
        <w:t xml:space="preserve"> </w:t>
      </w:r>
      <w:r w:rsidR="00717B08">
        <w:rPr>
          <w:rFonts w:cs="Times New Roman"/>
          <w:sz w:val="24"/>
          <w:szCs w:val="24"/>
        </w:rPr>
        <w:t xml:space="preserve"> </w:t>
      </w:r>
    </w:p>
    <w:p w:rsidR="00717B08" w:rsidRDefault="00717B08" w:rsidP="00717B08">
      <w:pPr>
        <w:suppressLineNumbers/>
        <w:spacing w:line="480" w:lineRule="auto"/>
        <w:ind w:firstLine="720"/>
        <w:contextualSpacing/>
        <w:rPr>
          <w:rFonts w:cs="Times New Roman"/>
          <w:sz w:val="24"/>
          <w:szCs w:val="24"/>
        </w:rPr>
      </w:pPr>
      <w:r>
        <w:rPr>
          <w:rFonts w:cs="Times New Roman"/>
          <w:sz w:val="24"/>
          <w:szCs w:val="24"/>
        </w:rPr>
        <w:t xml:space="preserve">The last to </w:t>
      </w:r>
      <w:proofErr w:type="gramStart"/>
      <w:r>
        <w:rPr>
          <w:rFonts w:cs="Times New Roman"/>
          <w:sz w:val="24"/>
          <w:szCs w:val="24"/>
        </w:rPr>
        <w:t>be built</w:t>
      </w:r>
      <w:proofErr w:type="gramEnd"/>
      <w:r>
        <w:rPr>
          <w:rFonts w:cs="Times New Roman"/>
          <w:sz w:val="24"/>
          <w:szCs w:val="24"/>
        </w:rPr>
        <w:t xml:space="preserve"> in the program, the Erechtheion </w:t>
      </w:r>
      <w:r w:rsidR="00563865">
        <w:rPr>
          <w:rFonts w:cs="Times New Roman"/>
          <w:sz w:val="24"/>
          <w:szCs w:val="24"/>
        </w:rPr>
        <w:t xml:space="preserve">(See Figure 3-7) </w:t>
      </w:r>
      <w:r>
        <w:rPr>
          <w:rFonts w:cs="Times New Roman"/>
          <w:sz w:val="24"/>
          <w:szCs w:val="24"/>
        </w:rPr>
        <w:t>was the temple of an</w:t>
      </w:r>
      <w:r w:rsidR="002C3207">
        <w:rPr>
          <w:rFonts w:cs="Times New Roman"/>
          <w:sz w:val="24"/>
          <w:szCs w:val="24"/>
        </w:rPr>
        <w:t>o</w:t>
      </w:r>
      <w:r>
        <w:rPr>
          <w:rFonts w:cs="Times New Roman"/>
          <w:sz w:val="24"/>
          <w:szCs w:val="24"/>
        </w:rPr>
        <w:t xml:space="preserve">ther identity of the goddess Athena for the people – Athena </w:t>
      </w:r>
      <w:proofErr w:type="spellStart"/>
      <w:r>
        <w:rPr>
          <w:rFonts w:cs="Times New Roman"/>
          <w:sz w:val="24"/>
          <w:szCs w:val="24"/>
        </w:rPr>
        <w:t>Polias</w:t>
      </w:r>
      <w:proofErr w:type="spellEnd"/>
      <w:r>
        <w:rPr>
          <w:rFonts w:cs="Times New Roman"/>
          <w:sz w:val="24"/>
          <w:szCs w:val="24"/>
        </w:rPr>
        <w:t xml:space="preserve">, the city goddess. </w:t>
      </w:r>
      <w:r w:rsidR="007470D4">
        <w:rPr>
          <w:rFonts w:cs="Times New Roman"/>
          <w:sz w:val="24"/>
          <w:szCs w:val="24"/>
        </w:rPr>
        <w:t>This structure is arguably more important than even the Parthenon for the an</w:t>
      </w:r>
      <w:r w:rsidR="002C3207">
        <w:rPr>
          <w:rFonts w:cs="Times New Roman"/>
          <w:sz w:val="24"/>
          <w:szCs w:val="24"/>
        </w:rPr>
        <w:t>cient Athenians, since it housed</w:t>
      </w:r>
      <w:r w:rsidR="007470D4">
        <w:rPr>
          <w:rFonts w:cs="Times New Roman"/>
          <w:sz w:val="24"/>
          <w:szCs w:val="24"/>
        </w:rPr>
        <w:t xml:space="preserve"> the precious olive wood sacred image of Athena that they celebrate. </w:t>
      </w:r>
      <w:r w:rsidR="00460D36">
        <w:rPr>
          <w:rFonts w:cs="Times New Roman"/>
          <w:sz w:val="24"/>
          <w:szCs w:val="24"/>
        </w:rPr>
        <w:t xml:space="preserve">Pausanias describes the Erechtheion even more in-depth than he does the Parthenon in his </w:t>
      </w:r>
      <w:r w:rsidR="00460D36" w:rsidRPr="00460D36">
        <w:rPr>
          <w:rFonts w:cs="Times New Roman"/>
          <w:i/>
          <w:sz w:val="24"/>
          <w:szCs w:val="24"/>
        </w:rPr>
        <w:t>Description of Greece</w:t>
      </w:r>
      <w:r w:rsidR="00460D36">
        <w:rPr>
          <w:rFonts w:cs="Times New Roman"/>
          <w:sz w:val="24"/>
          <w:szCs w:val="24"/>
        </w:rPr>
        <w:t>:</w:t>
      </w:r>
    </w:p>
    <w:p w:rsidR="00460D36" w:rsidRDefault="00EC5CC1" w:rsidP="00C7110D">
      <w:pPr>
        <w:suppressLineNumbers/>
        <w:spacing w:line="480" w:lineRule="auto"/>
        <w:ind w:left="1440"/>
        <w:contextualSpacing/>
        <w:rPr>
          <w:rFonts w:cs="Times New Roman"/>
          <w:sz w:val="24"/>
          <w:szCs w:val="24"/>
        </w:rPr>
      </w:pPr>
      <w:r>
        <w:rPr>
          <w:rFonts w:cs="Times New Roman"/>
          <w:sz w:val="24"/>
          <w:szCs w:val="24"/>
        </w:rPr>
        <w:t xml:space="preserve">There is also a building called the </w:t>
      </w:r>
      <w:proofErr w:type="spellStart"/>
      <w:r>
        <w:rPr>
          <w:rFonts w:cs="Times New Roman"/>
          <w:sz w:val="24"/>
          <w:szCs w:val="24"/>
        </w:rPr>
        <w:t>Erechtheum</w:t>
      </w:r>
      <w:proofErr w:type="spellEnd"/>
      <w:r>
        <w:rPr>
          <w:rFonts w:cs="Times New Roman"/>
          <w:sz w:val="24"/>
          <w:szCs w:val="24"/>
        </w:rPr>
        <w:t xml:space="preserve">. Before the entrance is an altar of Zeus the Most High, on which they never sacrifice a living creature, but offer cakes, </w:t>
      </w:r>
      <w:proofErr w:type="gramStart"/>
      <w:r>
        <w:rPr>
          <w:rFonts w:cs="Times New Roman"/>
          <w:sz w:val="24"/>
          <w:szCs w:val="24"/>
        </w:rPr>
        <w:t>not</w:t>
      </w:r>
      <w:proofErr w:type="gramEnd"/>
      <w:r>
        <w:rPr>
          <w:rFonts w:cs="Times New Roman"/>
          <w:sz w:val="24"/>
          <w:szCs w:val="24"/>
        </w:rPr>
        <w:t xml:space="preserve"> being wont to use any wine either. Inside the entrance are the altars, one to Poseidon, on which in obedience to an </w:t>
      </w:r>
      <w:r>
        <w:rPr>
          <w:rFonts w:cs="Times New Roman"/>
          <w:sz w:val="24"/>
          <w:szCs w:val="24"/>
        </w:rPr>
        <w:lastRenderedPageBreak/>
        <w:t xml:space="preserve">oracle they sacrifice also to </w:t>
      </w:r>
      <w:proofErr w:type="spellStart"/>
      <w:r>
        <w:rPr>
          <w:rFonts w:cs="Times New Roman"/>
          <w:sz w:val="24"/>
          <w:szCs w:val="24"/>
        </w:rPr>
        <w:t>Erechtheus</w:t>
      </w:r>
      <w:proofErr w:type="spellEnd"/>
      <w:r>
        <w:rPr>
          <w:rFonts w:cs="Times New Roman"/>
          <w:sz w:val="24"/>
          <w:szCs w:val="24"/>
        </w:rPr>
        <w:t xml:space="preserve">, </w:t>
      </w:r>
      <w:r w:rsidR="00A12EC2">
        <w:rPr>
          <w:rFonts w:cs="Times New Roman"/>
          <w:sz w:val="24"/>
          <w:szCs w:val="24"/>
        </w:rPr>
        <w:t xml:space="preserve">the second to the hero </w:t>
      </w:r>
      <w:proofErr w:type="spellStart"/>
      <w:r w:rsidR="00A12EC2">
        <w:rPr>
          <w:rFonts w:cs="Times New Roman"/>
          <w:sz w:val="24"/>
          <w:szCs w:val="24"/>
        </w:rPr>
        <w:t>Butes</w:t>
      </w:r>
      <w:proofErr w:type="spellEnd"/>
      <w:r w:rsidR="00A12EC2">
        <w:rPr>
          <w:rFonts w:cs="Times New Roman"/>
          <w:sz w:val="24"/>
          <w:szCs w:val="24"/>
        </w:rPr>
        <w:t xml:space="preserve">, and the third to Hephaestus. On the walls are paintings representing members of the clan </w:t>
      </w:r>
      <w:proofErr w:type="spellStart"/>
      <w:r w:rsidR="00A12EC2">
        <w:rPr>
          <w:rFonts w:cs="Times New Roman"/>
          <w:sz w:val="24"/>
          <w:szCs w:val="24"/>
        </w:rPr>
        <w:t>Butadae</w:t>
      </w:r>
      <w:proofErr w:type="spellEnd"/>
      <w:r w:rsidR="00A12EC2">
        <w:rPr>
          <w:rFonts w:cs="Times New Roman"/>
          <w:sz w:val="24"/>
          <w:szCs w:val="24"/>
        </w:rPr>
        <w:t>; there is also inside – the building is double – sea-water in a cistern. This</w:t>
      </w:r>
      <w:r w:rsidR="006C1BF5">
        <w:rPr>
          <w:rFonts w:cs="Times New Roman"/>
          <w:sz w:val="24"/>
          <w:szCs w:val="24"/>
        </w:rPr>
        <w:t xml:space="preserve"> is no great marvel, for other inland regions have similar wells, in particular </w:t>
      </w:r>
      <w:proofErr w:type="spellStart"/>
      <w:r w:rsidR="006C1BF5">
        <w:rPr>
          <w:rFonts w:cs="Times New Roman"/>
          <w:sz w:val="24"/>
          <w:szCs w:val="24"/>
        </w:rPr>
        <w:t>Aphrodisias</w:t>
      </w:r>
      <w:proofErr w:type="spellEnd"/>
      <w:r w:rsidR="006C1BF5">
        <w:rPr>
          <w:rFonts w:cs="Times New Roman"/>
          <w:sz w:val="24"/>
          <w:szCs w:val="24"/>
        </w:rPr>
        <w:t xml:space="preserve"> in Caria. </w:t>
      </w:r>
      <w:proofErr w:type="gramStart"/>
      <w:r w:rsidR="006C1BF5">
        <w:rPr>
          <w:rFonts w:cs="Times New Roman"/>
          <w:sz w:val="24"/>
          <w:szCs w:val="24"/>
        </w:rPr>
        <w:t>But</w:t>
      </w:r>
      <w:proofErr w:type="gramEnd"/>
      <w:r w:rsidR="006C1BF5">
        <w:rPr>
          <w:rFonts w:cs="Times New Roman"/>
          <w:sz w:val="24"/>
          <w:szCs w:val="24"/>
        </w:rPr>
        <w:t xml:space="preserve"> this cistern is remarkable for the noise of waves it sends forth when a south wind blows. On the rock is the outline of a trident. Legend says that these appeared as evidence in support of Poseidon’s claim to the land.</w:t>
      </w:r>
    </w:p>
    <w:p w:rsidR="006C1BF5" w:rsidRDefault="006C1BF5" w:rsidP="00C7110D">
      <w:pPr>
        <w:suppressLineNumbers/>
        <w:spacing w:line="480" w:lineRule="auto"/>
        <w:ind w:left="1440"/>
        <w:contextualSpacing/>
        <w:rPr>
          <w:rFonts w:cs="Times New Roman"/>
          <w:sz w:val="24"/>
          <w:szCs w:val="24"/>
        </w:rPr>
      </w:pPr>
      <w:r>
        <w:rPr>
          <w:rFonts w:cs="Times New Roman"/>
          <w:sz w:val="24"/>
          <w:szCs w:val="24"/>
        </w:rPr>
        <w:t>Both the city and the whole of the land are sacred to Athena</w:t>
      </w:r>
      <w:proofErr w:type="gramStart"/>
      <w:r>
        <w:rPr>
          <w:rFonts w:cs="Times New Roman"/>
          <w:sz w:val="24"/>
          <w:szCs w:val="24"/>
        </w:rPr>
        <w:t>;</w:t>
      </w:r>
      <w:proofErr w:type="gramEnd"/>
      <w:r>
        <w:rPr>
          <w:rFonts w:cs="Times New Roman"/>
          <w:sz w:val="24"/>
          <w:szCs w:val="24"/>
        </w:rPr>
        <w:t xml:space="preserve"> for even those who in their parishes have an established worship of other gods nevertheless hold Athena in </w:t>
      </w:r>
      <w:proofErr w:type="spellStart"/>
      <w:r>
        <w:rPr>
          <w:rFonts w:cs="Times New Roman"/>
          <w:sz w:val="24"/>
          <w:szCs w:val="24"/>
        </w:rPr>
        <w:t>honour</w:t>
      </w:r>
      <w:proofErr w:type="spellEnd"/>
      <w:r>
        <w:rPr>
          <w:rFonts w:cs="Times New Roman"/>
          <w:sz w:val="24"/>
          <w:szCs w:val="24"/>
        </w:rPr>
        <w:t xml:space="preserve">. </w:t>
      </w:r>
      <w:proofErr w:type="gramStart"/>
      <w:r>
        <w:rPr>
          <w:rFonts w:cs="Times New Roman"/>
          <w:sz w:val="24"/>
          <w:szCs w:val="24"/>
        </w:rPr>
        <w:t>But</w:t>
      </w:r>
      <w:proofErr w:type="gramEnd"/>
      <w:r>
        <w:rPr>
          <w:rFonts w:cs="Times New Roman"/>
          <w:sz w:val="24"/>
          <w:szCs w:val="24"/>
        </w:rPr>
        <w:t xml:space="preserve"> the most holy symbol, that was so considered by all many years before the unification of parishes, is the image of Athena which is on what is now called the Akropolis, but in the early days the Polis (</w:t>
      </w:r>
      <w:r w:rsidRPr="006C1BF5">
        <w:rPr>
          <w:rFonts w:cs="Times New Roman"/>
          <w:i/>
          <w:sz w:val="24"/>
          <w:szCs w:val="24"/>
        </w:rPr>
        <w:t>City</w:t>
      </w:r>
      <w:r>
        <w:rPr>
          <w:rFonts w:cs="Times New Roman"/>
          <w:sz w:val="24"/>
          <w:szCs w:val="24"/>
        </w:rPr>
        <w:t xml:space="preserve">). </w:t>
      </w:r>
      <w:r w:rsidR="00BE186E">
        <w:rPr>
          <w:rFonts w:cs="Times New Roman"/>
          <w:sz w:val="24"/>
          <w:szCs w:val="24"/>
        </w:rPr>
        <w:t>A legend concerning it says that it fell from heaven</w:t>
      </w:r>
      <w:proofErr w:type="gramStart"/>
      <w:r w:rsidR="00BE186E">
        <w:rPr>
          <w:rFonts w:cs="Times New Roman"/>
          <w:sz w:val="24"/>
          <w:szCs w:val="24"/>
        </w:rPr>
        <w:t>;</w:t>
      </w:r>
      <w:proofErr w:type="gramEnd"/>
      <w:r w:rsidR="00BE186E">
        <w:rPr>
          <w:rFonts w:cs="Times New Roman"/>
          <w:sz w:val="24"/>
          <w:szCs w:val="24"/>
        </w:rPr>
        <w:t xml:space="preserve"> whether this is true or not I shall not discuss. </w:t>
      </w:r>
      <w:proofErr w:type="gramStart"/>
      <w:r w:rsidR="00BE186E">
        <w:rPr>
          <w:rFonts w:cs="Times New Roman"/>
          <w:sz w:val="24"/>
          <w:szCs w:val="24"/>
        </w:rPr>
        <w:t>A golden lamp for the goddess was made by Callimachus</w:t>
      </w:r>
      <w:proofErr w:type="gramEnd"/>
      <w:r w:rsidR="00BE186E">
        <w:rPr>
          <w:rFonts w:cs="Times New Roman"/>
          <w:sz w:val="24"/>
          <w:szCs w:val="24"/>
        </w:rPr>
        <w:t>. Having filled the lamp with oil, they wait until the same day next year, and the oil is sufficient for the lamp during the</w:t>
      </w:r>
      <w:r w:rsidR="00C7110D">
        <w:rPr>
          <w:rFonts w:cs="Times New Roman"/>
          <w:sz w:val="24"/>
          <w:szCs w:val="24"/>
        </w:rPr>
        <w:t xml:space="preserve"> interval, although it is alight both day and night.</w:t>
      </w:r>
      <w:r w:rsidR="00C7110D">
        <w:rPr>
          <w:rStyle w:val="FootnoteReference"/>
          <w:rFonts w:cs="Times New Roman"/>
          <w:sz w:val="24"/>
          <w:szCs w:val="24"/>
        </w:rPr>
        <w:footnoteReference w:id="86"/>
      </w:r>
    </w:p>
    <w:p w:rsidR="003F4B09" w:rsidRDefault="0063449D" w:rsidP="00545934">
      <w:pPr>
        <w:suppressLineNumbers/>
        <w:spacing w:line="480" w:lineRule="auto"/>
        <w:ind w:firstLine="720"/>
        <w:contextualSpacing/>
        <w:rPr>
          <w:rFonts w:cs="Times New Roman"/>
          <w:sz w:val="24"/>
          <w:szCs w:val="24"/>
        </w:rPr>
      </w:pPr>
      <w:r>
        <w:rPr>
          <w:rFonts w:cs="Times New Roman"/>
          <w:sz w:val="24"/>
          <w:szCs w:val="24"/>
        </w:rPr>
        <w:t xml:space="preserve">The more important identity was not the role of Virgin Victor as displayed in the Parthenon. </w:t>
      </w:r>
      <w:r w:rsidR="00545934">
        <w:rPr>
          <w:rFonts w:cs="Times New Roman"/>
          <w:sz w:val="24"/>
          <w:szCs w:val="24"/>
        </w:rPr>
        <w:t>This sacred olive image</w:t>
      </w:r>
      <w:r>
        <w:rPr>
          <w:rFonts w:cs="Times New Roman"/>
          <w:sz w:val="24"/>
          <w:szCs w:val="24"/>
        </w:rPr>
        <w:t xml:space="preserve"> had fallen from the heavens. The role of the </w:t>
      </w:r>
      <w:r>
        <w:rPr>
          <w:rFonts w:cs="Times New Roman"/>
          <w:sz w:val="24"/>
          <w:szCs w:val="24"/>
        </w:rPr>
        <w:lastRenderedPageBreak/>
        <w:t xml:space="preserve">Parthenon </w:t>
      </w:r>
      <w:r w:rsidR="000077B0">
        <w:rPr>
          <w:rFonts w:cs="Times New Roman"/>
          <w:sz w:val="24"/>
          <w:szCs w:val="24"/>
        </w:rPr>
        <w:t xml:space="preserve">during worship </w:t>
      </w:r>
      <w:r>
        <w:rPr>
          <w:rFonts w:cs="Times New Roman"/>
          <w:sz w:val="24"/>
          <w:szCs w:val="24"/>
        </w:rPr>
        <w:t xml:space="preserve">is hard to </w:t>
      </w:r>
      <w:r w:rsidR="000077B0">
        <w:rPr>
          <w:rFonts w:cs="Times New Roman"/>
          <w:sz w:val="24"/>
          <w:szCs w:val="24"/>
        </w:rPr>
        <w:t>discern</w:t>
      </w:r>
      <w:r>
        <w:rPr>
          <w:rFonts w:cs="Times New Roman"/>
          <w:sz w:val="24"/>
          <w:szCs w:val="24"/>
        </w:rPr>
        <w:t xml:space="preserve">, but </w:t>
      </w:r>
      <w:r w:rsidR="000077B0">
        <w:rPr>
          <w:rFonts w:cs="Times New Roman"/>
          <w:sz w:val="24"/>
          <w:szCs w:val="24"/>
        </w:rPr>
        <w:t>considering</w:t>
      </w:r>
      <w:r>
        <w:rPr>
          <w:rFonts w:cs="Times New Roman"/>
          <w:sz w:val="24"/>
          <w:szCs w:val="24"/>
        </w:rPr>
        <w:t xml:space="preserve"> the location of the altars on the Akropolis, </w:t>
      </w:r>
      <w:r w:rsidR="000077B0">
        <w:rPr>
          <w:rFonts w:cs="Times New Roman"/>
          <w:sz w:val="24"/>
          <w:szCs w:val="24"/>
        </w:rPr>
        <w:t xml:space="preserve">the </w:t>
      </w:r>
      <w:proofErr w:type="gramStart"/>
      <w:r w:rsidR="000077B0">
        <w:rPr>
          <w:rFonts w:cs="Times New Roman"/>
          <w:sz w:val="24"/>
          <w:szCs w:val="24"/>
        </w:rPr>
        <w:t>Parthenon’s</w:t>
      </w:r>
      <w:proofErr w:type="gramEnd"/>
      <w:r>
        <w:rPr>
          <w:rFonts w:cs="Times New Roman"/>
          <w:sz w:val="24"/>
          <w:szCs w:val="24"/>
        </w:rPr>
        <w:t xml:space="preserve"> </w:t>
      </w:r>
      <w:r w:rsidR="000077B0">
        <w:rPr>
          <w:rFonts w:cs="Times New Roman"/>
          <w:sz w:val="24"/>
          <w:szCs w:val="24"/>
        </w:rPr>
        <w:t xml:space="preserve">limited </w:t>
      </w:r>
      <w:r>
        <w:rPr>
          <w:rFonts w:cs="Times New Roman"/>
          <w:sz w:val="24"/>
          <w:szCs w:val="24"/>
        </w:rPr>
        <w:t xml:space="preserve">structural </w:t>
      </w:r>
      <w:r w:rsidR="00F52747">
        <w:rPr>
          <w:rFonts w:cs="Times New Roman"/>
          <w:sz w:val="24"/>
          <w:szCs w:val="24"/>
        </w:rPr>
        <w:t>attrition</w:t>
      </w:r>
      <w:r w:rsidR="000077B0">
        <w:rPr>
          <w:rFonts w:cs="Times New Roman"/>
          <w:sz w:val="24"/>
          <w:szCs w:val="24"/>
        </w:rPr>
        <w:t xml:space="preserve"> in key areas</w:t>
      </w:r>
      <w:r w:rsidR="00F52747">
        <w:rPr>
          <w:rFonts w:cs="Times New Roman"/>
          <w:sz w:val="24"/>
          <w:szCs w:val="24"/>
        </w:rPr>
        <w:t xml:space="preserve">, and </w:t>
      </w:r>
      <w:r w:rsidR="000077B0">
        <w:rPr>
          <w:rFonts w:cs="Times New Roman"/>
          <w:sz w:val="24"/>
          <w:szCs w:val="24"/>
        </w:rPr>
        <w:t xml:space="preserve">known </w:t>
      </w:r>
      <w:r w:rsidR="00F52747">
        <w:rPr>
          <w:rFonts w:cs="Times New Roman"/>
          <w:sz w:val="24"/>
          <w:szCs w:val="24"/>
        </w:rPr>
        <w:t>cultural emphasis on other structures and identities of Athena</w:t>
      </w:r>
      <w:r w:rsidR="000077B0">
        <w:rPr>
          <w:rFonts w:cs="Times New Roman"/>
          <w:sz w:val="24"/>
          <w:szCs w:val="24"/>
        </w:rPr>
        <w:t xml:space="preserve"> upon the Akropolis</w:t>
      </w:r>
      <w:r w:rsidR="00F52747">
        <w:rPr>
          <w:rFonts w:cs="Times New Roman"/>
          <w:sz w:val="24"/>
          <w:szCs w:val="24"/>
        </w:rPr>
        <w:t xml:space="preserve">, it is easily reasoned that very few worshippers found themselves within its walls. </w:t>
      </w:r>
      <w:r w:rsidR="00545934">
        <w:rPr>
          <w:rFonts w:cs="Times New Roman"/>
          <w:sz w:val="24"/>
          <w:szCs w:val="24"/>
        </w:rPr>
        <w:t>T</w:t>
      </w:r>
      <w:r w:rsidR="00F52747">
        <w:rPr>
          <w:rFonts w:cs="Times New Roman"/>
          <w:sz w:val="24"/>
          <w:szCs w:val="24"/>
        </w:rPr>
        <w:t xml:space="preserve">he large image </w:t>
      </w:r>
      <w:proofErr w:type="gramStart"/>
      <w:r w:rsidR="00F52747">
        <w:rPr>
          <w:rFonts w:cs="Times New Roman"/>
          <w:sz w:val="24"/>
          <w:szCs w:val="24"/>
        </w:rPr>
        <w:t>would have been seen</w:t>
      </w:r>
      <w:proofErr w:type="gramEnd"/>
      <w:r w:rsidR="00F52747">
        <w:rPr>
          <w:rFonts w:cs="Times New Roman"/>
          <w:sz w:val="24"/>
          <w:szCs w:val="24"/>
        </w:rPr>
        <w:t xml:space="preserve"> from the exterior due to her size and </w:t>
      </w:r>
      <w:r w:rsidR="00545934">
        <w:rPr>
          <w:rFonts w:cs="Times New Roman"/>
          <w:sz w:val="24"/>
          <w:szCs w:val="24"/>
        </w:rPr>
        <w:t xml:space="preserve">to </w:t>
      </w:r>
      <w:r w:rsidR="00F52747">
        <w:rPr>
          <w:rFonts w:cs="Times New Roman"/>
          <w:sz w:val="24"/>
          <w:szCs w:val="24"/>
        </w:rPr>
        <w:t>the controlled natural lighting</w:t>
      </w:r>
      <w:r w:rsidR="00545934">
        <w:rPr>
          <w:rFonts w:cs="Times New Roman"/>
          <w:sz w:val="24"/>
          <w:szCs w:val="24"/>
        </w:rPr>
        <w:t xml:space="preserve">, and worshippers would not have required entry. There, however, was one altar on the porch of the Parthenon. </w:t>
      </w:r>
      <w:r w:rsidR="00545934" w:rsidRPr="00545934">
        <w:rPr>
          <w:rFonts w:cs="Times New Roman"/>
          <w:sz w:val="24"/>
          <w:szCs w:val="24"/>
        </w:rPr>
        <w:t xml:space="preserve">The northern additions </w:t>
      </w:r>
      <w:r w:rsidR="00545934">
        <w:rPr>
          <w:rFonts w:cs="Times New Roman"/>
          <w:sz w:val="24"/>
          <w:szCs w:val="24"/>
        </w:rPr>
        <w:t xml:space="preserve">to the initial foundations for the Parthenon </w:t>
      </w:r>
      <w:r w:rsidR="00545934" w:rsidRPr="00545934">
        <w:rPr>
          <w:rFonts w:cs="Times New Roman"/>
          <w:sz w:val="24"/>
          <w:szCs w:val="24"/>
        </w:rPr>
        <w:t>overlapped a shrine (</w:t>
      </w:r>
      <w:proofErr w:type="spellStart"/>
      <w:r w:rsidR="00545934" w:rsidRPr="00545934">
        <w:rPr>
          <w:rFonts w:cs="Times New Roman"/>
          <w:i/>
          <w:sz w:val="24"/>
          <w:szCs w:val="24"/>
        </w:rPr>
        <w:t>naiskos</w:t>
      </w:r>
      <w:proofErr w:type="spellEnd"/>
      <w:r w:rsidR="00545934" w:rsidRPr="00545934">
        <w:rPr>
          <w:rFonts w:cs="Times New Roman"/>
          <w:sz w:val="24"/>
          <w:szCs w:val="24"/>
        </w:rPr>
        <w:t xml:space="preserve">) and altar, so after the construction was complete, the small temple-like structure was rebuilt directly above its location, placing it between the seventh and eighth columns from the east end on the northern side with a circular alter </w:t>
      </w:r>
      <w:r w:rsidR="00545934">
        <w:rPr>
          <w:rFonts w:cs="Times New Roman"/>
          <w:sz w:val="24"/>
          <w:szCs w:val="24"/>
        </w:rPr>
        <w:t>nearby</w:t>
      </w:r>
      <w:r w:rsidR="00545934" w:rsidRPr="00545934">
        <w:rPr>
          <w:rFonts w:cs="Times New Roman"/>
          <w:sz w:val="24"/>
          <w:szCs w:val="24"/>
        </w:rPr>
        <w:t>.</w:t>
      </w:r>
      <w:r w:rsidR="00545934">
        <w:rPr>
          <w:rStyle w:val="FootnoteReference"/>
          <w:rFonts w:cs="Times New Roman"/>
          <w:sz w:val="24"/>
          <w:szCs w:val="24"/>
        </w:rPr>
        <w:footnoteReference w:id="87"/>
      </w:r>
      <w:r w:rsidR="003F4B09" w:rsidRPr="003F4B09">
        <w:rPr>
          <w:rFonts w:cs="Times New Roman"/>
          <w:sz w:val="24"/>
          <w:szCs w:val="24"/>
        </w:rPr>
        <w:t xml:space="preserve"> </w:t>
      </w:r>
    </w:p>
    <w:p w:rsidR="00545934" w:rsidRPr="00460D36" w:rsidRDefault="003F4B09" w:rsidP="00545934">
      <w:pPr>
        <w:suppressLineNumbers/>
        <w:spacing w:line="480" w:lineRule="auto"/>
        <w:ind w:firstLine="720"/>
        <w:contextualSpacing/>
        <w:rPr>
          <w:rFonts w:cs="Times New Roman"/>
          <w:sz w:val="24"/>
          <w:szCs w:val="24"/>
        </w:rPr>
      </w:pPr>
      <w:r>
        <w:rPr>
          <w:rFonts w:cs="Times New Roman"/>
          <w:sz w:val="24"/>
          <w:szCs w:val="24"/>
        </w:rPr>
        <w:t xml:space="preserve">However, the function of the Parthenon changed drastically over the course of Athenian history. In fact, it served as a Christian church and Islamic mosque longer than it ever served the ancient Athenians as their sacred space dedicated to Athena. </w:t>
      </w:r>
      <w:r w:rsidRPr="00924964">
        <w:rPr>
          <w:rFonts w:cs="Times New Roman"/>
          <w:sz w:val="24"/>
          <w:szCs w:val="24"/>
        </w:rPr>
        <w:t>Af</w:t>
      </w:r>
      <w:r>
        <w:rPr>
          <w:rFonts w:cs="Times New Roman"/>
          <w:sz w:val="24"/>
          <w:szCs w:val="24"/>
        </w:rPr>
        <w:t xml:space="preserve">ter Roman domination in 86 B.C. </w:t>
      </w:r>
      <w:r w:rsidRPr="00924964">
        <w:rPr>
          <w:rFonts w:cs="Times New Roman"/>
          <w:sz w:val="24"/>
          <w:szCs w:val="24"/>
        </w:rPr>
        <w:t>and the rise of Christianity in the Roman Empire, the Parthenon ceased to be associated with the Virgin Athena and instead became a house</w:t>
      </w:r>
      <w:r w:rsidRPr="003F4B09">
        <w:rPr>
          <w:rFonts w:cs="Times New Roman"/>
          <w:sz w:val="24"/>
          <w:szCs w:val="24"/>
        </w:rPr>
        <w:t xml:space="preserve"> </w:t>
      </w:r>
      <w:r w:rsidRPr="00924964">
        <w:rPr>
          <w:rFonts w:cs="Times New Roman"/>
          <w:sz w:val="24"/>
          <w:szCs w:val="24"/>
        </w:rPr>
        <w:t>of the Virgin Mary. It served first as a Christian basilica and then became a church later in the thirt</w:t>
      </w:r>
      <w:r>
        <w:rPr>
          <w:rFonts w:cs="Times New Roman"/>
          <w:sz w:val="24"/>
          <w:szCs w:val="24"/>
        </w:rPr>
        <w:t>eenth to fifteenth centuries</w:t>
      </w:r>
      <w:r w:rsidRPr="00924964">
        <w:rPr>
          <w:rFonts w:cs="Times New Roman"/>
          <w:sz w:val="24"/>
          <w:szCs w:val="24"/>
        </w:rPr>
        <w:t>. The use of the Parthenon as a Christian cathedral continued until it then became a Turkish mosque after the Turkish</w:t>
      </w:r>
      <w:r w:rsidRPr="003F4B09">
        <w:rPr>
          <w:rFonts w:cs="Times New Roman"/>
          <w:sz w:val="24"/>
          <w:szCs w:val="24"/>
        </w:rPr>
        <w:t xml:space="preserve"> </w:t>
      </w:r>
      <w:r w:rsidRPr="00924964">
        <w:rPr>
          <w:rFonts w:cs="Times New Roman"/>
          <w:sz w:val="24"/>
          <w:szCs w:val="24"/>
        </w:rPr>
        <w:t xml:space="preserve">invasion in 1456, after the fall of Constantinople in 1453. War and conflict thread the entire </w:t>
      </w:r>
      <w:r>
        <w:rPr>
          <w:rFonts w:cs="Times New Roman"/>
          <w:sz w:val="24"/>
          <w:szCs w:val="24"/>
        </w:rPr>
        <w:t>history</w:t>
      </w:r>
    </w:p>
    <w:p w:rsidR="005112F0" w:rsidRDefault="00E3025D" w:rsidP="007E1AF6">
      <w:pPr>
        <w:keepNext/>
        <w:suppressLineNumbers/>
        <w:spacing w:line="480" w:lineRule="auto"/>
        <w:contextualSpacing/>
        <w:jc w:val="center"/>
      </w:pPr>
      <w:r>
        <w:rPr>
          <w:rFonts w:cs="Times New Roman"/>
          <w:noProof/>
          <w:sz w:val="24"/>
          <w:szCs w:val="24"/>
        </w:rPr>
        <w:lastRenderedPageBreak/>
        <w:drawing>
          <wp:inline distT="0" distB="0" distL="0" distR="0" wp14:anchorId="5767BE31" wp14:editId="41F84B45">
            <wp:extent cx="3978300" cy="4979504"/>
            <wp:effectExtent l="0" t="0" r="3175" b="0"/>
            <wp:docPr id="22" name="Picture 22" descr="C:\Users\Luke\Desktop\Stillman Erech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Luke\Desktop\Stillman Erechtion.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06458" cy="5014748"/>
                    </a:xfrm>
                    <a:prstGeom prst="rect">
                      <a:avLst/>
                    </a:prstGeom>
                    <a:noFill/>
                    <a:ln>
                      <a:noFill/>
                    </a:ln>
                    <a:effectLst>
                      <a:softEdge rad="63500"/>
                    </a:effectLst>
                  </pic:spPr>
                </pic:pic>
              </a:graphicData>
            </a:graphic>
          </wp:inline>
        </w:drawing>
      </w:r>
    </w:p>
    <w:p w:rsidR="005112F0" w:rsidRPr="000F0288" w:rsidRDefault="00563865" w:rsidP="000F0288">
      <w:pPr>
        <w:pStyle w:val="Heading2"/>
        <w:jc w:val="center"/>
      </w:pPr>
      <w:bookmarkStart w:id="71" w:name="_Toc468630841"/>
      <w:bookmarkStart w:id="72" w:name="_Toc468649007"/>
      <w:r w:rsidRPr="000F0288">
        <w:t>Figure 3</w:t>
      </w:r>
      <w:r w:rsidR="00647BE6" w:rsidRPr="000F0288">
        <w:noBreakHyphen/>
      </w:r>
      <w:r w:rsidR="00430F28" w:rsidRPr="000F0288">
        <w:t>7</w:t>
      </w:r>
      <w:r w:rsidR="000F0288" w:rsidRPr="000F0288">
        <w:t>:</w:t>
      </w:r>
      <w:r w:rsidR="005112F0" w:rsidRPr="000F0288">
        <w:t xml:space="preserve"> The Caryatids of the Erechtheion</w:t>
      </w:r>
      <w:bookmarkEnd w:id="71"/>
      <w:bookmarkEnd w:id="72"/>
    </w:p>
    <w:p w:rsidR="005112F0" w:rsidRPr="00501BCB" w:rsidRDefault="005112F0" w:rsidP="00501BCB">
      <w:pPr>
        <w:suppressLineNumbers/>
        <w:spacing w:line="240" w:lineRule="auto"/>
        <w:contextualSpacing/>
        <w:jc w:val="center"/>
        <w:rPr>
          <w:rFonts w:cs="Times New Roman"/>
          <w:color w:val="548DD4" w:themeColor="text2" w:themeTint="99"/>
          <w:sz w:val="32"/>
          <w:szCs w:val="24"/>
        </w:rPr>
      </w:pPr>
      <w:proofErr w:type="gramStart"/>
      <w:r w:rsidRPr="00501BCB">
        <w:rPr>
          <w:rFonts w:cs="Times New Roman"/>
          <w:color w:val="548DD4" w:themeColor="text2" w:themeTint="99"/>
          <w:sz w:val="24"/>
          <w:szCs w:val="24"/>
        </w:rPr>
        <w:t>Courtesy of the Nashville Parthenon.</w:t>
      </w:r>
      <w:proofErr w:type="gramEnd"/>
      <w:r w:rsidRPr="00501BCB">
        <w:rPr>
          <w:rFonts w:cs="Times New Roman"/>
          <w:color w:val="548DD4" w:themeColor="text2" w:themeTint="99"/>
          <w:sz w:val="24"/>
          <w:szCs w:val="24"/>
        </w:rPr>
        <w:t xml:space="preserve"> William James </w:t>
      </w:r>
      <w:proofErr w:type="spellStart"/>
      <w:r w:rsidRPr="00501BCB">
        <w:rPr>
          <w:rFonts w:cs="Times New Roman"/>
          <w:color w:val="548DD4" w:themeColor="text2" w:themeTint="99"/>
          <w:sz w:val="24"/>
          <w:szCs w:val="24"/>
        </w:rPr>
        <w:t>Stillman</w:t>
      </w:r>
      <w:proofErr w:type="spellEnd"/>
      <w:r w:rsidRPr="00501BCB">
        <w:rPr>
          <w:rFonts w:cs="Times New Roman"/>
          <w:color w:val="548DD4" w:themeColor="text2" w:themeTint="99"/>
          <w:sz w:val="24"/>
          <w:szCs w:val="24"/>
        </w:rPr>
        <w:t xml:space="preserve">, </w:t>
      </w:r>
      <w:r w:rsidRPr="00501BCB">
        <w:rPr>
          <w:rFonts w:cs="Times New Roman"/>
          <w:i/>
          <w:color w:val="548DD4" w:themeColor="text2" w:themeTint="99"/>
          <w:sz w:val="24"/>
          <w:szCs w:val="24"/>
        </w:rPr>
        <w:t>The Acropolis of Athens, Illustrated Picturesquely and Architecturally in Photography</w:t>
      </w:r>
      <w:r w:rsidRPr="00501BCB">
        <w:rPr>
          <w:rFonts w:cs="Times New Roman"/>
          <w:color w:val="548DD4" w:themeColor="text2" w:themeTint="99"/>
          <w:sz w:val="24"/>
          <w:szCs w:val="24"/>
        </w:rPr>
        <w:t xml:space="preserve"> (</w:t>
      </w:r>
      <w:r w:rsidR="0015073D" w:rsidRPr="00501BCB">
        <w:rPr>
          <w:rFonts w:cs="Times New Roman"/>
          <w:color w:val="548DD4" w:themeColor="text2" w:themeTint="99"/>
          <w:sz w:val="24"/>
          <w:szCs w:val="24"/>
        </w:rPr>
        <w:t>Boston: Museum of Fine Arts, 1870)</w:t>
      </w:r>
      <w:r w:rsidR="0093024B">
        <w:rPr>
          <w:rFonts w:cs="Times New Roman"/>
          <w:color w:val="548DD4" w:themeColor="text2" w:themeTint="99"/>
          <w:sz w:val="24"/>
          <w:szCs w:val="24"/>
        </w:rPr>
        <w:t>.</w:t>
      </w:r>
      <w:r w:rsidRPr="00501BCB">
        <w:rPr>
          <w:rFonts w:cs="Times New Roman"/>
          <w:color w:val="548DD4" w:themeColor="text2" w:themeTint="99"/>
          <w:sz w:val="24"/>
          <w:szCs w:val="24"/>
        </w:rPr>
        <w:t xml:space="preserve"> </w:t>
      </w:r>
      <w:proofErr w:type="gramStart"/>
      <w:r w:rsidRPr="00501BCB">
        <w:rPr>
          <w:rFonts w:cs="Times New Roman"/>
          <w:i/>
          <w:color w:val="548DD4" w:themeColor="text2" w:themeTint="99"/>
          <w:sz w:val="24"/>
          <w:szCs w:val="24"/>
        </w:rPr>
        <w:t>The Caryatids of the Erechtheion.</w:t>
      </w:r>
      <w:proofErr w:type="gramEnd"/>
    </w:p>
    <w:p w:rsidR="00EF30CC" w:rsidRDefault="00EF30CC" w:rsidP="00501BCB">
      <w:pPr>
        <w:suppressLineNumbers/>
        <w:spacing w:line="480" w:lineRule="auto"/>
        <w:contextualSpacing/>
        <w:rPr>
          <w:rFonts w:cs="Times New Roman"/>
          <w:sz w:val="24"/>
          <w:szCs w:val="24"/>
        </w:rPr>
      </w:pPr>
    </w:p>
    <w:p w:rsidR="00AF3D59" w:rsidRDefault="00D27827" w:rsidP="003F4B09">
      <w:pPr>
        <w:suppressLineNumbers/>
        <w:spacing w:line="480" w:lineRule="auto"/>
        <w:contextualSpacing/>
        <w:rPr>
          <w:rFonts w:cs="Times New Roman"/>
          <w:sz w:val="24"/>
          <w:szCs w:val="24"/>
        </w:rPr>
      </w:pPr>
      <w:proofErr w:type="gramStart"/>
      <w:r>
        <w:rPr>
          <w:rFonts w:cs="Times New Roman"/>
          <w:sz w:val="24"/>
          <w:szCs w:val="24"/>
        </w:rPr>
        <w:t>of</w:t>
      </w:r>
      <w:proofErr w:type="gramEnd"/>
      <w:r>
        <w:rPr>
          <w:rFonts w:cs="Times New Roman"/>
          <w:sz w:val="24"/>
          <w:szCs w:val="24"/>
        </w:rPr>
        <w:t xml:space="preserve"> the Parthenon, reach</w:t>
      </w:r>
      <w:r w:rsidR="00924964" w:rsidRPr="00924964">
        <w:rPr>
          <w:rFonts w:cs="Times New Roman"/>
          <w:sz w:val="24"/>
          <w:szCs w:val="24"/>
        </w:rPr>
        <w:t>ing a pinnacle when the Venetians attempted to seize the city in 1687-1</w:t>
      </w:r>
      <w:r w:rsidR="00473805">
        <w:rPr>
          <w:rFonts w:cs="Times New Roman"/>
          <w:sz w:val="24"/>
          <w:szCs w:val="24"/>
        </w:rPr>
        <w:t>688. During the attack on the Ak</w:t>
      </w:r>
      <w:r w:rsidR="00924964" w:rsidRPr="00924964">
        <w:rPr>
          <w:rFonts w:cs="Times New Roman"/>
          <w:sz w:val="24"/>
          <w:szCs w:val="24"/>
        </w:rPr>
        <w:t>ropolis, a mortar permeated the Parthenon’s roo</w:t>
      </w:r>
      <w:r>
        <w:rPr>
          <w:rFonts w:cs="Times New Roman"/>
          <w:sz w:val="24"/>
          <w:szCs w:val="24"/>
        </w:rPr>
        <w:t>f, falling upon the stored ammu</w:t>
      </w:r>
      <w:r w:rsidR="00924964" w:rsidRPr="00924964">
        <w:rPr>
          <w:rFonts w:cs="Times New Roman"/>
          <w:sz w:val="24"/>
          <w:szCs w:val="24"/>
        </w:rPr>
        <w:t xml:space="preserve">nitions of the Turks. The Parthenon, “which had </w:t>
      </w:r>
      <w:r w:rsidR="00924964" w:rsidRPr="00924964">
        <w:rPr>
          <w:rFonts w:cs="Times New Roman"/>
          <w:sz w:val="24"/>
          <w:szCs w:val="24"/>
        </w:rPr>
        <w:lastRenderedPageBreak/>
        <w:t>remained lar</w:t>
      </w:r>
      <w:r>
        <w:rPr>
          <w:rFonts w:cs="Times New Roman"/>
          <w:sz w:val="24"/>
          <w:szCs w:val="24"/>
        </w:rPr>
        <w:t>gely intact until then,”</w:t>
      </w:r>
      <w:r w:rsidR="00FA2313" w:rsidRPr="00FA2313">
        <w:rPr>
          <w:rStyle w:val="FootnoteReference"/>
          <w:rFonts w:cs="Times New Roman"/>
          <w:sz w:val="24"/>
          <w:szCs w:val="24"/>
        </w:rPr>
        <w:t xml:space="preserve"> </w:t>
      </w:r>
      <w:r w:rsidR="00FA2313">
        <w:rPr>
          <w:rStyle w:val="FootnoteReference"/>
          <w:rFonts w:cs="Times New Roman"/>
          <w:sz w:val="24"/>
          <w:szCs w:val="24"/>
        </w:rPr>
        <w:footnoteReference w:id="88"/>
      </w:r>
      <w:r w:rsidR="00FA2313" w:rsidRPr="00924964">
        <w:rPr>
          <w:rFonts w:cs="Times New Roman"/>
          <w:sz w:val="24"/>
          <w:szCs w:val="24"/>
        </w:rPr>
        <w:t xml:space="preserve"> </w:t>
      </w:r>
      <w:r>
        <w:rPr>
          <w:rFonts w:cs="Times New Roman"/>
          <w:sz w:val="24"/>
          <w:szCs w:val="24"/>
        </w:rPr>
        <w:t>was ex</w:t>
      </w:r>
      <w:r w:rsidR="00924964" w:rsidRPr="00924964">
        <w:rPr>
          <w:rFonts w:cs="Times New Roman"/>
          <w:sz w:val="24"/>
          <w:szCs w:val="24"/>
        </w:rPr>
        <w:t>tremely damaged. The Venetian General Francesco Morosini further damaged the Parthenon attempting to remove figures from the west pediment and three marble griffins</w:t>
      </w:r>
      <w:r>
        <w:rPr>
          <w:rFonts w:cs="Times New Roman"/>
          <w:sz w:val="24"/>
          <w:szCs w:val="24"/>
        </w:rPr>
        <w:t>.</w:t>
      </w:r>
      <w:r>
        <w:rPr>
          <w:rStyle w:val="FootnoteReference"/>
          <w:rFonts w:cs="Times New Roman"/>
          <w:sz w:val="24"/>
          <w:szCs w:val="24"/>
        </w:rPr>
        <w:footnoteReference w:id="89"/>
      </w:r>
      <w:r>
        <w:rPr>
          <w:rFonts w:cs="Times New Roman"/>
          <w:sz w:val="24"/>
          <w:szCs w:val="24"/>
        </w:rPr>
        <w:t xml:space="preserve"> </w:t>
      </w:r>
      <w:r w:rsidR="00924964" w:rsidRPr="00924964">
        <w:rPr>
          <w:rFonts w:cs="Times New Roman"/>
          <w:sz w:val="24"/>
          <w:szCs w:val="24"/>
        </w:rPr>
        <w:t>The official use of the Parthe</w:t>
      </w:r>
      <w:r>
        <w:rPr>
          <w:rFonts w:cs="Times New Roman"/>
          <w:sz w:val="24"/>
          <w:szCs w:val="24"/>
        </w:rPr>
        <w:t xml:space="preserve">non as </w:t>
      </w:r>
      <w:r w:rsidR="00624550">
        <w:rPr>
          <w:rFonts w:cs="Times New Roman"/>
          <w:sz w:val="24"/>
          <w:szCs w:val="24"/>
        </w:rPr>
        <w:t xml:space="preserve">a </w:t>
      </w:r>
      <w:r>
        <w:rPr>
          <w:rFonts w:cs="Times New Roman"/>
          <w:sz w:val="24"/>
          <w:szCs w:val="24"/>
        </w:rPr>
        <w:t xml:space="preserve">mosque </w:t>
      </w:r>
      <w:r w:rsidR="00624550">
        <w:rPr>
          <w:rFonts w:cs="Times New Roman"/>
          <w:sz w:val="24"/>
          <w:szCs w:val="24"/>
        </w:rPr>
        <w:t xml:space="preserve">continued in </w:t>
      </w:r>
      <w:r w:rsidR="00924964" w:rsidRPr="00924964">
        <w:rPr>
          <w:rFonts w:cs="Times New Roman"/>
          <w:sz w:val="24"/>
          <w:szCs w:val="24"/>
        </w:rPr>
        <w:t>1700</w:t>
      </w:r>
      <w:r w:rsidR="00624550">
        <w:rPr>
          <w:rFonts w:cs="Times New Roman"/>
          <w:sz w:val="24"/>
          <w:szCs w:val="24"/>
        </w:rPr>
        <w:t xml:space="preserve"> when one </w:t>
      </w:r>
      <w:proofErr w:type="gramStart"/>
      <w:r w:rsidR="00624550">
        <w:rPr>
          <w:rFonts w:cs="Times New Roman"/>
          <w:sz w:val="24"/>
          <w:szCs w:val="24"/>
        </w:rPr>
        <w:t>was constructed</w:t>
      </w:r>
      <w:proofErr w:type="gramEnd"/>
      <w:r w:rsidR="00624550">
        <w:rPr>
          <w:rFonts w:cs="Times New Roman"/>
          <w:sz w:val="24"/>
          <w:szCs w:val="24"/>
        </w:rPr>
        <w:t xml:space="preserve"> inside the ruins</w:t>
      </w:r>
      <w:r w:rsidR="00924964" w:rsidRPr="00924964">
        <w:rPr>
          <w:rFonts w:cs="Times New Roman"/>
          <w:sz w:val="24"/>
          <w:szCs w:val="24"/>
        </w:rPr>
        <w:t xml:space="preserve">, but </w:t>
      </w:r>
      <w:r w:rsidR="00624550">
        <w:rPr>
          <w:rFonts w:cs="Times New Roman"/>
          <w:sz w:val="24"/>
          <w:szCs w:val="24"/>
        </w:rPr>
        <w:t>this last mosque in the Parthenon</w:t>
      </w:r>
      <w:r w:rsidR="00924964" w:rsidRPr="00924964">
        <w:rPr>
          <w:rFonts w:cs="Times New Roman"/>
          <w:sz w:val="24"/>
          <w:szCs w:val="24"/>
        </w:rPr>
        <w:t xml:space="preserve"> was removed due to </w:t>
      </w:r>
      <w:r w:rsidR="00624550">
        <w:rPr>
          <w:rFonts w:cs="Times New Roman"/>
          <w:sz w:val="24"/>
          <w:szCs w:val="24"/>
        </w:rPr>
        <w:t xml:space="preserve">structural </w:t>
      </w:r>
      <w:r w:rsidR="00924964" w:rsidRPr="00924964">
        <w:rPr>
          <w:rFonts w:cs="Times New Roman"/>
          <w:sz w:val="24"/>
          <w:szCs w:val="24"/>
        </w:rPr>
        <w:t>deterioration in 1842.</w:t>
      </w:r>
      <w:r>
        <w:rPr>
          <w:rStyle w:val="FootnoteReference"/>
          <w:rFonts w:cs="Times New Roman"/>
          <w:sz w:val="24"/>
          <w:szCs w:val="24"/>
        </w:rPr>
        <w:footnoteReference w:id="90"/>
      </w:r>
    </w:p>
    <w:p w:rsidR="00E93EBC" w:rsidRDefault="00DB112F" w:rsidP="00D27827">
      <w:pPr>
        <w:suppressLineNumbers/>
        <w:spacing w:line="480" w:lineRule="auto"/>
        <w:ind w:firstLine="720"/>
        <w:contextualSpacing/>
        <w:rPr>
          <w:rFonts w:cs="Times New Roman"/>
          <w:sz w:val="24"/>
          <w:szCs w:val="24"/>
        </w:rPr>
      </w:pPr>
      <w:r>
        <w:rPr>
          <w:rFonts w:cs="Times New Roman"/>
          <w:sz w:val="24"/>
          <w:szCs w:val="24"/>
        </w:rPr>
        <w:t xml:space="preserve">On August 28, 1834, the Parthenon </w:t>
      </w:r>
      <w:r w:rsidR="00CD7EF7">
        <w:rPr>
          <w:rFonts w:cs="Times New Roman"/>
          <w:sz w:val="24"/>
          <w:szCs w:val="24"/>
        </w:rPr>
        <w:t>beca</w:t>
      </w:r>
      <w:r>
        <w:rPr>
          <w:rFonts w:cs="Times New Roman"/>
          <w:sz w:val="24"/>
          <w:szCs w:val="24"/>
        </w:rPr>
        <w:t xml:space="preserve">me an official ancient monument </w:t>
      </w:r>
      <w:r w:rsidR="00713C0B">
        <w:rPr>
          <w:rFonts w:cs="Times New Roman"/>
          <w:sz w:val="24"/>
          <w:szCs w:val="24"/>
        </w:rPr>
        <w:t xml:space="preserve">after the Treaty of Edirne in 1829. </w:t>
      </w:r>
      <w:r w:rsidR="005C1924">
        <w:rPr>
          <w:rFonts w:cs="Times New Roman"/>
          <w:sz w:val="24"/>
          <w:szCs w:val="24"/>
        </w:rPr>
        <w:t xml:space="preserve">Then it </w:t>
      </w:r>
      <w:proofErr w:type="gramStart"/>
      <w:r w:rsidR="005C1924">
        <w:rPr>
          <w:rFonts w:cs="Times New Roman"/>
          <w:sz w:val="24"/>
          <w:szCs w:val="24"/>
        </w:rPr>
        <w:t>was decided</w:t>
      </w:r>
      <w:proofErr w:type="gramEnd"/>
      <w:r w:rsidR="005C1924">
        <w:rPr>
          <w:rFonts w:cs="Times New Roman"/>
          <w:sz w:val="24"/>
          <w:szCs w:val="24"/>
        </w:rPr>
        <w:t xml:space="preserve"> that the sacred space that had served pagan worship, Christian worship, and Islamic worship would </w:t>
      </w:r>
      <w:r w:rsidR="005D315B">
        <w:rPr>
          <w:rFonts w:cs="Times New Roman"/>
          <w:sz w:val="24"/>
          <w:szCs w:val="24"/>
        </w:rPr>
        <w:t>then</w:t>
      </w:r>
      <w:r w:rsidR="005C1924">
        <w:rPr>
          <w:rFonts w:cs="Times New Roman"/>
          <w:sz w:val="24"/>
          <w:szCs w:val="24"/>
        </w:rPr>
        <w:t xml:space="preserve"> be entirely restored. Any material that </w:t>
      </w:r>
      <w:proofErr w:type="gramStart"/>
      <w:r w:rsidR="005C1924">
        <w:rPr>
          <w:rFonts w:cs="Times New Roman"/>
          <w:sz w:val="24"/>
          <w:szCs w:val="24"/>
        </w:rPr>
        <w:t xml:space="preserve">could not be </w:t>
      </w:r>
      <w:r w:rsidR="00BE6A1B">
        <w:rPr>
          <w:rFonts w:cs="Times New Roman"/>
          <w:sz w:val="24"/>
          <w:szCs w:val="24"/>
        </w:rPr>
        <w:t>reincorporated</w:t>
      </w:r>
      <w:r w:rsidR="005C1924">
        <w:rPr>
          <w:rFonts w:cs="Times New Roman"/>
          <w:sz w:val="24"/>
          <w:szCs w:val="24"/>
        </w:rPr>
        <w:t xml:space="preserve"> </w:t>
      </w:r>
      <w:r w:rsidR="00BE6A1B">
        <w:rPr>
          <w:rFonts w:cs="Times New Roman"/>
          <w:sz w:val="24"/>
          <w:szCs w:val="24"/>
        </w:rPr>
        <w:t>nor made picturesque</w:t>
      </w:r>
      <w:proofErr w:type="gramEnd"/>
      <w:r w:rsidR="00BE6A1B">
        <w:rPr>
          <w:rFonts w:cs="Times New Roman"/>
          <w:sz w:val="24"/>
          <w:szCs w:val="24"/>
        </w:rPr>
        <w:t xml:space="preserve"> was to be sold off, per request of Leo von </w:t>
      </w:r>
      <w:proofErr w:type="spellStart"/>
      <w:r w:rsidR="00BE6A1B">
        <w:rPr>
          <w:rFonts w:cs="Times New Roman"/>
          <w:sz w:val="24"/>
          <w:szCs w:val="24"/>
        </w:rPr>
        <w:t>Klenze</w:t>
      </w:r>
      <w:proofErr w:type="spellEnd"/>
      <w:r w:rsidR="00A23A84">
        <w:rPr>
          <w:rFonts w:cs="Times New Roman"/>
          <w:sz w:val="24"/>
          <w:szCs w:val="24"/>
        </w:rPr>
        <w:t>, chief adviser on architecture and archaeology in the royal court,</w:t>
      </w:r>
      <w:r w:rsidR="00BE6A1B">
        <w:rPr>
          <w:rFonts w:cs="Times New Roman"/>
          <w:sz w:val="24"/>
          <w:szCs w:val="24"/>
        </w:rPr>
        <w:t xml:space="preserve"> to King Otto</w:t>
      </w:r>
      <w:r w:rsidR="00A23A84">
        <w:rPr>
          <w:rFonts w:cs="Times New Roman"/>
          <w:sz w:val="24"/>
          <w:szCs w:val="24"/>
        </w:rPr>
        <w:t xml:space="preserve"> I of Greece.</w:t>
      </w:r>
      <w:r w:rsidR="00A23A84">
        <w:rPr>
          <w:rStyle w:val="FootnoteReference"/>
          <w:rFonts w:cs="Times New Roman"/>
          <w:sz w:val="24"/>
          <w:szCs w:val="24"/>
        </w:rPr>
        <w:footnoteReference w:id="91"/>
      </w:r>
      <w:r w:rsidR="00EC63A3">
        <w:rPr>
          <w:rFonts w:cs="Times New Roman"/>
          <w:sz w:val="24"/>
          <w:szCs w:val="24"/>
        </w:rPr>
        <w:t xml:space="preserve"> As Mar</w:t>
      </w:r>
      <w:r w:rsidR="00E93EBC">
        <w:rPr>
          <w:rFonts w:cs="Times New Roman"/>
          <w:sz w:val="24"/>
          <w:szCs w:val="24"/>
        </w:rPr>
        <w:t>y Beard points out the results:</w:t>
      </w:r>
    </w:p>
    <w:p w:rsidR="00654799" w:rsidRDefault="00EC63A3" w:rsidP="00E93EBC">
      <w:pPr>
        <w:suppressLineNumbers/>
        <w:spacing w:line="480" w:lineRule="auto"/>
        <w:ind w:left="1440"/>
        <w:contextualSpacing/>
        <w:rPr>
          <w:rFonts w:cs="Times New Roman"/>
          <w:sz w:val="24"/>
          <w:szCs w:val="24"/>
        </w:rPr>
      </w:pPr>
      <w:r>
        <w:rPr>
          <w:rFonts w:cs="Times New Roman"/>
          <w:sz w:val="24"/>
          <w:szCs w:val="24"/>
        </w:rPr>
        <w:t xml:space="preserve"> </w:t>
      </w:r>
      <w:r w:rsidR="00E52B5E">
        <w:rPr>
          <w:rFonts w:cs="Times New Roman"/>
          <w:sz w:val="24"/>
          <w:szCs w:val="24"/>
        </w:rPr>
        <w:t xml:space="preserve">All that the visitor can now see is what the archaeologists of the nineteenth century chose to leave </w:t>
      </w:r>
      <w:proofErr w:type="gramStart"/>
      <w:r w:rsidR="00E52B5E">
        <w:rPr>
          <w:rFonts w:cs="Times New Roman"/>
          <w:sz w:val="24"/>
          <w:szCs w:val="24"/>
        </w:rPr>
        <w:t>behind:</w:t>
      </w:r>
      <w:proofErr w:type="gramEnd"/>
      <w:r w:rsidR="00E52B5E">
        <w:rPr>
          <w:rFonts w:cs="Times New Roman"/>
          <w:sz w:val="24"/>
          <w:szCs w:val="24"/>
        </w:rPr>
        <w:t xml:space="preserve"> a handful of monuments with a fifth-century B.C. classical pedigree, standing in splendid (or uncomfortable) isolation, stripped of </w:t>
      </w:r>
      <w:r w:rsidR="00E93EBC">
        <w:rPr>
          <w:rFonts w:cs="Times New Roman"/>
          <w:sz w:val="24"/>
          <w:szCs w:val="24"/>
        </w:rPr>
        <w:t xml:space="preserve">as much of their later history as possible. [. . .] This bare rock is the product of a vigorous </w:t>
      </w:r>
      <w:proofErr w:type="spellStart"/>
      <w:r w:rsidR="00E93EBC">
        <w:rPr>
          <w:rFonts w:cs="Times New Roman"/>
          <w:sz w:val="24"/>
          <w:szCs w:val="24"/>
        </w:rPr>
        <w:t>programme</w:t>
      </w:r>
      <w:proofErr w:type="spellEnd"/>
      <w:r w:rsidR="00E93EBC">
        <w:rPr>
          <w:rFonts w:cs="Times New Roman"/>
          <w:sz w:val="24"/>
          <w:szCs w:val="24"/>
        </w:rPr>
        <w:t xml:space="preserve"> of archaeological cleansing and by the standards of today’s archaeology a lesson in how </w:t>
      </w:r>
      <w:r w:rsidR="00E93EBC" w:rsidRPr="00E93EBC">
        <w:rPr>
          <w:rFonts w:cs="Times New Roman"/>
          <w:i/>
          <w:sz w:val="24"/>
          <w:szCs w:val="24"/>
        </w:rPr>
        <w:t>not</w:t>
      </w:r>
      <w:r w:rsidR="00E93EBC">
        <w:rPr>
          <w:rFonts w:cs="Times New Roman"/>
          <w:sz w:val="24"/>
          <w:szCs w:val="24"/>
        </w:rPr>
        <w:t xml:space="preserve"> to landscape a restored site.</w:t>
      </w:r>
      <w:r w:rsidR="00E93EBC">
        <w:rPr>
          <w:rStyle w:val="FootnoteReference"/>
          <w:rFonts w:cs="Times New Roman"/>
          <w:sz w:val="24"/>
          <w:szCs w:val="24"/>
        </w:rPr>
        <w:footnoteReference w:id="92"/>
      </w:r>
    </w:p>
    <w:p w:rsidR="0045557A" w:rsidRDefault="00E93EBC" w:rsidP="0045557A">
      <w:pPr>
        <w:suppressLineNumbers/>
        <w:spacing w:line="480" w:lineRule="auto"/>
        <w:contextualSpacing/>
        <w:rPr>
          <w:rFonts w:cs="Times New Roman"/>
          <w:sz w:val="24"/>
          <w:szCs w:val="24"/>
        </w:rPr>
      </w:pPr>
      <w:r>
        <w:rPr>
          <w:rFonts w:cs="Times New Roman"/>
          <w:sz w:val="24"/>
          <w:szCs w:val="24"/>
        </w:rPr>
        <w:lastRenderedPageBreak/>
        <w:tab/>
        <w:t xml:space="preserve">Most certainly, when scholars and classical enthusiasts </w:t>
      </w:r>
      <w:r w:rsidR="00E95EBF">
        <w:rPr>
          <w:rFonts w:cs="Times New Roman"/>
          <w:sz w:val="24"/>
          <w:szCs w:val="24"/>
        </w:rPr>
        <w:t>viewed</w:t>
      </w:r>
      <w:r>
        <w:rPr>
          <w:rFonts w:cs="Times New Roman"/>
          <w:sz w:val="24"/>
          <w:szCs w:val="24"/>
        </w:rPr>
        <w:t xml:space="preserve"> the Parthenon, they </w:t>
      </w:r>
      <w:r w:rsidR="00E95EBF">
        <w:rPr>
          <w:rFonts w:cs="Times New Roman"/>
          <w:sz w:val="24"/>
          <w:szCs w:val="24"/>
        </w:rPr>
        <w:t>saw</w:t>
      </w:r>
      <w:r>
        <w:rPr>
          <w:rFonts w:cs="Times New Roman"/>
          <w:sz w:val="24"/>
          <w:szCs w:val="24"/>
        </w:rPr>
        <w:t xml:space="preserve"> it as the new Greece wished them to see it – </w:t>
      </w:r>
      <w:r w:rsidR="00EC5F51">
        <w:rPr>
          <w:rFonts w:cs="Times New Roman"/>
          <w:sz w:val="24"/>
          <w:szCs w:val="24"/>
        </w:rPr>
        <w:t xml:space="preserve">as </w:t>
      </w:r>
      <w:proofErr w:type="spellStart"/>
      <w:r w:rsidR="00EC5F51">
        <w:rPr>
          <w:rFonts w:cs="Times New Roman"/>
          <w:sz w:val="24"/>
          <w:szCs w:val="24"/>
        </w:rPr>
        <w:t>Klenze</w:t>
      </w:r>
      <w:proofErr w:type="spellEnd"/>
      <w:r w:rsidR="00EC5F51">
        <w:rPr>
          <w:rFonts w:cs="Times New Roman"/>
          <w:sz w:val="24"/>
          <w:szCs w:val="24"/>
        </w:rPr>
        <w:t xml:space="preserve"> said, “All the remains of barbarity [. . .] removed, here as in Greece, and the remains of the glorious past [. . .] brought into new light, as the solid foundation of a glorious </w:t>
      </w:r>
      <w:r w:rsidR="00F95017">
        <w:rPr>
          <w:rFonts w:cs="Times New Roman"/>
          <w:sz w:val="24"/>
          <w:szCs w:val="24"/>
        </w:rPr>
        <w:t>present and future.”</w:t>
      </w:r>
      <w:r w:rsidR="00F95017">
        <w:rPr>
          <w:rStyle w:val="FootnoteReference"/>
          <w:rFonts w:cs="Times New Roman"/>
          <w:sz w:val="24"/>
          <w:szCs w:val="24"/>
        </w:rPr>
        <w:footnoteReference w:id="93"/>
      </w:r>
      <w:r w:rsidR="00F95017">
        <w:rPr>
          <w:rFonts w:cs="Times New Roman"/>
          <w:sz w:val="24"/>
          <w:szCs w:val="24"/>
        </w:rPr>
        <w:t xml:space="preserve"> When the romanticized image of the Parthenon and Akropolis as a whole </w:t>
      </w:r>
      <w:r w:rsidR="00F8447F">
        <w:rPr>
          <w:rFonts w:cs="Times New Roman"/>
          <w:sz w:val="24"/>
          <w:szCs w:val="24"/>
        </w:rPr>
        <w:t xml:space="preserve">appealed to the elite in Nashville, who were planning the Tennessee Centennial Exposition in the 1890s, they had no other image to replicate other than the one highly cherished and valued – the restored ruins of ancient Greece. </w:t>
      </w:r>
      <w:r w:rsidR="006E2785">
        <w:rPr>
          <w:rFonts w:cs="Times New Roman"/>
          <w:sz w:val="24"/>
          <w:szCs w:val="24"/>
        </w:rPr>
        <w:t>Standing as a symbol of democratic ideals, the arts, and the progression of humanity, it seems reasonable that Major Lewis and the other elite in Nashville would want to restore and cultivate these ideals within their growing city</w:t>
      </w:r>
      <w:r w:rsidR="005248E8">
        <w:rPr>
          <w:rFonts w:cs="Times New Roman"/>
          <w:sz w:val="24"/>
          <w:szCs w:val="24"/>
        </w:rPr>
        <w:t xml:space="preserve"> </w:t>
      </w:r>
      <w:proofErr w:type="gramStart"/>
      <w:r w:rsidR="005248E8">
        <w:rPr>
          <w:rFonts w:cs="Times New Roman"/>
          <w:sz w:val="24"/>
          <w:szCs w:val="24"/>
        </w:rPr>
        <w:t>so as to</w:t>
      </w:r>
      <w:proofErr w:type="gramEnd"/>
      <w:r w:rsidR="005248E8">
        <w:rPr>
          <w:rFonts w:cs="Times New Roman"/>
          <w:sz w:val="24"/>
          <w:szCs w:val="24"/>
        </w:rPr>
        <w:t xml:space="preserve"> further the interests of the city and </w:t>
      </w:r>
      <w:r w:rsidR="00CE6389">
        <w:rPr>
          <w:rFonts w:cs="Times New Roman"/>
          <w:sz w:val="24"/>
          <w:szCs w:val="24"/>
        </w:rPr>
        <w:t>its progression</w:t>
      </w:r>
      <w:r w:rsidR="006E2785">
        <w:rPr>
          <w:rFonts w:cs="Times New Roman"/>
          <w:sz w:val="24"/>
          <w:szCs w:val="24"/>
        </w:rPr>
        <w:t xml:space="preserve">. </w:t>
      </w:r>
    </w:p>
    <w:p w:rsidR="007E1AF6" w:rsidRDefault="007E1AF6"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3F4B09" w:rsidRDefault="003F4B09" w:rsidP="0045557A">
      <w:pPr>
        <w:suppressLineNumbers/>
        <w:spacing w:line="480" w:lineRule="auto"/>
        <w:contextualSpacing/>
        <w:rPr>
          <w:rFonts w:cs="Times New Roman"/>
          <w:sz w:val="24"/>
          <w:szCs w:val="24"/>
        </w:rPr>
      </w:pPr>
    </w:p>
    <w:p w:rsidR="007B57B0" w:rsidRPr="00BC2A51" w:rsidRDefault="007B57B0" w:rsidP="005F43BB">
      <w:pPr>
        <w:pStyle w:val="Heading1"/>
        <w:spacing w:line="480" w:lineRule="auto"/>
        <w:contextualSpacing/>
        <w:jc w:val="center"/>
        <w:rPr>
          <w:i/>
        </w:rPr>
      </w:pPr>
      <w:bookmarkStart w:id="73" w:name="_Toc468630842"/>
      <w:r w:rsidRPr="00BC2A51">
        <w:rPr>
          <w:i/>
        </w:rPr>
        <w:lastRenderedPageBreak/>
        <w:t xml:space="preserve">Chapter </w:t>
      </w:r>
      <w:r w:rsidR="00A00600">
        <w:rPr>
          <w:i/>
        </w:rPr>
        <w:t>IV</w:t>
      </w:r>
      <w:r w:rsidR="002C5B6E" w:rsidRPr="00BC2A51">
        <w:rPr>
          <w:i/>
        </w:rPr>
        <w:t xml:space="preserve"> – </w:t>
      </w:r>
      <w:r w:rsidRPr="00BC2A51">
        <w:rPr>
          <w:i/>
        </w:rPr>
        <w:t>The Akropolis of Nashville: Centennial Park</w:t>
      </w:r>
      <w:bookmarkEnd w:id="73"/>
    </w:p>
    <w:p w:rsidR="002C5B6E" w:rsidRPr="002A45E3" w:rsidRDefault="002C5B6E" w:rsidP="005F43BB">
      <w:pPr>
        <w:spacing w:line="480" w:lineRule="auto"/>
        <w:contextualSpacing/>
        <w:rPr>
          <w:sz w:val="24"/>
        </w:rPr>
      </w:pPr>
    </w:p>
    <w:p w:rsidR="007B57B0" w:rsidRDefault="007B57B0" w:rsidP="005F43BB">
      <w:pPr>
        <w:spacing w:line="480" w:lineRule="auto"/>
        <w:contextualSpacing/>
        <w:rPr>
          <w:sz w:val="24"/>
        </w:rPr>
      </w:pPr>
      <w:r>
        <w:rPr>
          <w:sz w:val="24"/>
        </w:rPr>
        <w:tab/>
        <w:t>Before the Tennessee Centennial Exposition was over, rumors and ideas were c</w:t>
      </w:r>
      <w:r w:rsidR="008F24A9">
        <w:rPr>
          <w:sz w:val="24"/>
        </w:rPr>
        <w:t>irculating</w:t>
      </w:r>
      <w:r>
        <w:rPr>
          <w:sz w:val="24"/>
        </w:rPr>
        <w:t xml:space="preserve"> about the future of the expositional grounds. Those who attended the exposition, as well as those who organized it, longed to continue the image of Nashville during the exposition long after </w:t>
      </w:r>
      <w:r w:rsidR="00702FF2">
        <w:rPr>
          <w:sz w:val="24"/>
        </w:rPr>
        <w:t>it</w:t>
      </w:r>
      <w:r>
        <w:rPr>
          <w:sz w:val="24"/>
        </w:rPr>
        <w:t xml:space="preserve"> had ended. On November 4, 1897, a letter </w:t>
      </w:r>
      <w:r w:rsidR="00702FF2">
        <w:rPr>
          <w:sz w:val="24"/>
        </w:rPr>
        <w:t xml:space="preserve">(See Figure 4-1) </w:t>
      </w:r>
      <w:r>
        <w:rPr>
          <w:sz w:val="24"/>
        </w:rPr>
        <w:t>from President Thomas addressed to Hon. J. M. Head provides reason to specu</w:t>
      </w:r>
      <w:r w:rsidR="00702FF2">
        <w:rPr>
          <w:sz w:val="24"/>
        </w:rPr>
        <w:t>late that the discussion about developing a p</w:t>
      </w:r>
      <w:r>
        <w:rPr>
          <w:sz w:val="24"/>
        </w:rPr>
        <w:t xml:space="preserve">ark system and the adoption of the expositional grounds by </w:t>
      </w:r>
      <w:r w:rsidR="00702FF2">
        <w:rPr>
          <w:sz w:val="24"/>
        </w:rPr>
        <w:t>this park system</w:t>
      </w:r>
      <w:r>
        <w:rPr>
          <w:sz w:val="24"/>
        </w:rPr>
        <w:t xml:space="preserve"> </w:t>
      </w:r>
      <w:r w:rsidR="00702FF2">
        <w:rPr>
          <w:sz w:val="24"/>
        </w:rPr>
        <w:t xml:space="preserve">had </w:t>
      </w:r>
      <w:r>
        <w:rPr>
          <w:sz w:val="24"/>
        </w:rPr>
        <w:t xml:space="preserve">preceded </w:t>
      </w:r>
      <w:r w:rsidR="00702FF2">
        <w:rPr>
          <w:sz w:val="24"/>
        </w:rPr>
        <w:t>many</w:t>
      </w:r>
      <w:r>
        <w:rPr>
          <w:sz w:val="24"/>
        </w:rPr>
        <w:t xml:space="preserve"> </w:t>
      </w:r>
      <w:r w:rsidR="00702FF2">
        <w:rPr>
          <w:sz w:val="24"/>
        </w:rPr>
        <w:t xml:space="preserve">larger </w:t>
      </w:r>
      <w:r>
        <w:rPr>
          <w:sz w:val="24"/>
        </w:rPr>
        <w:t>details of the Exposition</w:t>
      </w:r>
      <w:r w:rsidR="00702FF2">
        <w:rPr>
          <w:sz w:val="24"/>
        </w:rPr>
        <w:t xml:space="preserve"> itself</w:t>
      </w:r>
      <w:r w:rsidR="00546D23">
        <w:rPr>
          <w:sz w:val="24"/>
        </w:rPr>
        <w:t>:</w:t>
      </w:r>
    </w:p>
    <w:p w:rsidR="007B57B0" w:rsidRDefault="007B57B0" w:rsidP="007B57B0">
      <w:pPr>
        <w:spacing w:line="480" w:lineRule="auto"/>
        <w:ind w:left="1440" w:firstLine="720"/>
        <w:contextualSpacing/>
        <w:rPr>
          <w:sz w:val="24"/>
        </w:rPr>
      </w:pPr>
      <w:r>
        <w:rPr>
          <w:sz w:val="24"/>
        </w:rPr>
        <w:t xml:space="preserve">While I shall use every exertion to secure the Centennial Grounds for a park, I do not wish it named as suggested by my </w:t>
      </w:r>
      <w:proofErr w:type="gramStart"/>
      <w:r>
        <w:rPr>
          <w:sz w:val="24"/>
        </w:rPr>
        <w:t>personal friend</w:t>
      </w:r>
      <w:proofErr w:type="gramEnd"/>
      <w:r>
        <w:rPr>
          <w:sz w:val="24"/>
        </w:rPr>
        <w:t xml:space="preserve">, Mr. W. B. Earthman, of Murfreesboro, but think it should be named “Centennial Park”. </w:t>
      </w:r>
    </w:p>
    <w:p w:rsidR="007B57B0" w:rsidRDefault="007B57B0" w:rsidP="007B57B0">
      <w:pPr>
        <w:suppressLineNumbers/>
        <w:spacing w:line="480" w:lineRule="auto"/>
        <w:ind w:left="1440" w:firstLine="720"/>
        <w:contextualSpacing/>
        <w:rPr>
          <w:sz w:val="24"/>
        </w:rPr>
      </w:pPr>
      <w:r>
        <w:rPr>
          <w:sz w:val="24"/>
        </w:rPr>
        <w:t xml:space="preserve">I do not think that this matter should be considered by the Directors of the Centennial Company; </w:t>
      </w:r>
      <w:proofErr w:type="gramStart"/>
      <w:r>
        <w:rPr>
          <w:sz w:val="24"/>
        </w:rPr>
        <w:t>but,</w:t>
      </w:r>
      <w:proofErr w:type="gramEnd"/>
      <w:r>
        <w:rPr>
          <w:sz w:val="24"/>
        </w:rPr>
        <w:t xml:space="preserve"> at the proper time, by a mass meeting of the citizens of Nashville, and I understand there is a movement in this direction being made by the friends of the enterprise.</w:t>
      </w:r>
      <w:r>
        <w:rPr>
          <w:rStyle w:val="FootnoteReference"/>
          <w:sz w:val="24"/>
        </w:rPr>
        <w:footnoteReference w:id="94"/>
      </w:r>
      <w:r>
        <w:rPr>
          <w:sz w:val="24"/>
        </w:rPr>
        <w:t xml:space="preserve"> </w:t>
      </w:r>
    </w:p>
    <w:p w:rsidR="007B57B0" w:rsidRDefault="007B57B0" w:rsidP="007B57B0">
      <w:pPr>
        <w:spacing w:line="480" w:lineRule="auto"/>
        <w:contextualSpacing/>
        <w:rPr>
          <w:sz w:val="24"/>
        </w:rPr>
      </w:pPr>
      <w:r>
        <w:rPr>
          <w:sz w:val="24"/>
        </w:rPr>
        <w:t xml:space="preserve">Another letter </w:t>
      </w:r>
      <w:r w:rsidR="00C75C68">
        <w:rPr>
          <w:sz w:val="24"/>
        </w:rPr>
        <w:t xml:space="preserve">(See Figure 4-2) </w:t>
      </w:r>
      <w:r>
        <w:rPr>
          <w:sz w:val="24"/>
        </w:rPr>
        <w:t xml:space="preserve">mentions forming Centennial Park and </w:t>
      </w:r>
      <w:proofErr w:type="gramStart"/>
      <w:r>
        <w:rPr>
          <w:sz w:val="24"/>
        </w:rPr>
        <w:t>is addressed</w:t>
      </w:r>
      <w:proofErr w:type="gramEnd"/>
      <w:r>
        <w:rPr>
          <w:sz w:val="24"/>
        </w:rPr>
        <w:t xml:space="preserve"> to President Thomas from Major E. C. Lewis on October 13, 1898:</w:t>
      </w:r>
    </w:p>
    <w:p w:rsidR="005E5800" w:rsidRDefault="007B57B0" w:rsidP="002A45E3">
      <w:pPr>
        <w:keepNext/>
        <w:tabs>
          <w:tab w:val="left" w:pos="1080"/>
        </w:tabs>
        <w:spacing w:line="480" w:lineRule="auto"/>
        <w:ind w:left="1440"/>
        <w:contextualSpacing/>
      </w:pPr>
      <w:r>
        <w:rPr>
          <w:sz w:val="24"/>
        </w:rPr>
        <w:lastRenderedPageBreak/>
        <w:t xml:space="preserve">In connection with the matter of the fish in the lake at the Exposition grounds, if we </w:t>
      </w:r>
      <w:proofErr w:type="gramStart"/>
      <w:r>
        <w:rPr>
          <w:sz w:val="24"/>
        </w:rPr>
        <w:t>do anything with your last suggestion about raising the Parks question</w:t>
      </w:r>
      <w:proofErr w:type="gramEnd"/>
      <w:r>
        <w:rPr>
          <w:sz w:val="24"/>
        </w:rPr>
        <w:t xml:space="preserve"> again, it might be well to preserve the fish there.</w:t>
      </w:r>
      <w:r>
        <w:rPr>
          <w:rStyle w:val="FootnoteReference"/>
          <w:sz w:val="24"/>
        </w:rPr>
        <w:footnoteReference w:id="95"/>
      </w:r>
      <w:r w:rsidRPr="0078409F">
        <w:rPr>
          <w:rFonts w:cs="Times New Roman"/>
          <w:noProof/>
          <w:sz w:val="24"/>
          <w:szCs w:val="24"/>
        </w:rPr>
        <w:t xml:space="preserve"> </w:t>
      </w:r>
      <w:r w:rsidR="005E5800">
        <w:rPr>
          <w:rFonts w:cs="Times New Roman"/>
          <w:noProof/>
          <w:sz w:val="24"/>
          <w:szCs w:val="24"/>
        </w:rPr>
        <w:drawing>
          <wp:inline distT="0" distB="0" distL="0" distR="0" wp14:anchorId="6A25C761" wp14:editId="465ED723">
            <wp:extent cx="4250243" cy="5305425"/>
            <wp:effectExtent l="0" t="0" r="0" b="0"/>
            <wp:docPr id="14" name="Picture 14" descr="C:\Users\Luke\Desktop\Thesis Pics\Thomas Letter about Centennial P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ke\Desktop\Thesis Pics\Thomas Letter about Centennial Park.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r="2032" b="10012"/>
                    <a:stretch/>
                  </pic:blipFill>
                  <pic:spPr bwMode="auto">
                    <a:xfrm>
                      <a:off x="0" y="0"/>
                      <a:ext cx="4272179" cy="5332808"/>
                    </a:xfrm>
                    <a:prstGeom prst="rect">
                      <a:avLst/>
                    </a:prstGeom>
                    <a:noFill/>
                    <a:ln>
                      <a:noFill/>
                    </a:ln>
                    <a:extLst>
                      <a:ext uri="{53640926-AAD7-44D8-BBD7-CCE9431645EC}">
                        <a14:shadowObscured xmlns:a14="http://schemas.microsoft.com/office/drawing/2010/main"/>
                      </a:ext>
                    </a:extLst>
                  </pic:spPr>
                </pic:pic>
              </a:graphicData>
            </a:graphic>
          </wp:inline>
        </w:drawing>
      </w:r>
    </w:p>
    <w:p w:rsidR="007B57B0" w:rsidRPr="00983130" w:rsidRDefault="00430F28" w:rsidP="00983130">
      <w:pPr>
        <w:pStyle w:val="Heading2"/>
        <w:jc w:val="center"/>
      </w:pPr>
      <w:bookmarkStart w:id="74" w:name="_Toc468630843"/>
      <w:bookmarkStart w:id="75" w:name="_Toc468649008"/>
      <w:proofErr w:type="gramStart"/>
      <w:r w:rsidRPr="00983130">
        <w:t>Figure 4</w:t>
      </w:r>
      <w:r w:rsidR="008671D4" w:rsidRPr="00983130">
        <w:noBreakHyphen/>
      </w:r>
      <w:proofErr w:type="gramEnd"/>
      <w:r w:rsidR="008671D4" w:rsidRPr="00983130">
        <w:fldChar w:fldCharType="begin"/>
      </w:r>
      <w:r w:rsidR="008671D4" w:rsidRPr="00983130">
        <w:instrText xml:space="preserve"> SEQ Figure \* ARABIC \s 1 </w:instrText>
      </w:r>
      <w:r w:rsidR="008671D4" w:rsidRPr="00983130">
        <w:fldChar w:fldCharType="separate"/>
      </w:r>
      <w:r w:rsidR="00FA56AB">
        <w:rPr>
          <w:noProof/>
        </w:rPr>
        <w:t>1</w:t>
      </w:r>
      <w:r w:rsidR="008671D4" w:rsidRPr="00983130">
        <w:fldChar w:fldCharType="end"/>
      </w:r>
      <w:proofErr w:type="gramStart"/>
      <w:r w:rsidR="00C26C5B" w:rsidRPr="00983130">
        <w:t>:</w:t>
      </w:r>
      <w:r w:rsidR="005E5800" w:rsidRPr="00983130">
        <w:t xml:space="preserve"> </w:t>
      </w:r>
      <w:r w:rsidR="00842FC3" w:rsidRPr="00983130">
        <w:t>John W. Thomas to Hon. J. M. Head.</w:t>
      </w:r>
      <w:proofErr w:type="gramEnd"/>
      <w:r w:rsidR="00C6483C" w:rsidRPr="00983130">
        <w:t xml:space="preserve"> </w:t>
      </w:r>
      <w:proofErr w:type="gramStart"/>
      <w:r w:rsidR="00C6483C" w:rsidRPr="00983130">
        <w:t xml:space="preserve">– </w:t>
      </w:r>
      <w:r w:rsidR="00842FC3" w:rsidRPr="00983130">
        <w:t xml:space="preserve"> November</w:t>
      </w:r>
      <w:proofErr w:type="gramEnd"/>
      <w:r w:rsidR="00842FC3" w:rsidRPr="00983130">
        <w:t xml:space="preserve"> 4, 1987</w:t>
      </w:r>
      <w:bookmarkEnd w:id="74"/>
      <w:bookmarkEnd w:id="75"/>
    </w:p>
    <w:p w:rsidR="005E5800" w:rsidRPr="00BC2A51" w:rsidRDefault="00C81E2A" w:rsidP="00BC2A51">
      <w:pPr>
        <w:spacing w:line="240" w:lineRule="auto"/>
        <w:contextualSpacing/>
        <w:jc w:val="center"/>
        <w:rPr>
          <w:color w:val="548DD4" w:themeColor="text2" w:themeTint="99"/>
          <w:sz w:val="24"/>
          <w:szCs w:val="24"/>
        </w:rPr>
      </w:pPr>
      <w:proofErr w:type="gramStart"/>
      <w:r>
        <w:rPr>
          <w:color w:val="548DD4" w:themeColor="text2" w:themeTint="99"/>
          <w:sz w:val="24"/>
          <w:szCs w:val="24"/>
        </w:rPr>
        <w:t>Courtesy of Tennessee State Library and Archives.</w:t>
      </w:r>
      <w:proofErr w:type="gramEnd"/>
      <w:r>
        <w:rPr>
          <w:color w:val="548DD4" w:themeColor="text2" w:themeTint="99"/>
          <w:sz w:val="24"/>
          <w:szCs w:val="24"/>
        </w:rPr>
        <w:t xml:space="preserve"> </w:t>
      </w:r>
      <w:r w:rsidR="005E5800" w:rsidRPr="00BC2A51">
        <w:rPr>
          <w:color w:val="548DD4" w:themeColor="text2" w:themeTint="99"/>
          <w:sz w:val="24"/>
          <w:szCs w:val="24"/>
        </w:rPr>
        <w:t xml:space="preserve">John W. Thomas. </w:t>
      </w:r>
      <w:proofErr w:type="gramStart"/>
      <w:r w:rsidR="005E5800" w:rsidRPr="00BC2A51">
        <w:rPr>
          <w:i/>
          <w:color w:val="548DD4" w:themeColor="text2" w:themeTint="99"/>
          <w:sz w:val="24"/>
          <w:szCs w:val="24"/>
        </w:rPr>
        <w:t>John W. Thomas to Hon. J. M. Head.</w:t>
      </w:r>
      <w:proofErr w:type="gramEnd"/>
      <w:r w:rsidR="005E5800" w:rsidRPr="00BC2A51">
        <w:rPr>
          <w:i/>
          <w:color w:val="548DD4" w:themeColor="text2" w:themeTint="99"/>
          <w:sz w:val="24"/>
          <w:szCs w:val="24"/>
        </w:rPr>
        <w:t xml:space="preserve"> November 4, 1987</w:t>
      </w:r>
      <w:r w:rsidR="005E5800" w:rsidRPr="00BC2A51">
        <w:rPr>
          <w:color w:val="548DD4" w:themeColor="text2" w:themeTint="99"/>
          <w:sz w:val="24"/>
          <w:szCs w:val="24"/>
        </w:rPr>
        <w:t xml:space="preserve">. </w:t>
      </w:r>
      <w:proofErr w:type="gramStart"/>
      <w:r w:rsidR="005E5800" w:rsidRPr="00BC2A51">
        <w:rPr>
          <w:color w:val="548DD4" w:themeColor="text2" w:themeTint="99"/>
          <w:sz w:val="24"/>
          <w:szCs w:val="24"/>
        </w:rPr>
        <w:t>Letter.</w:t>
      </w:r>
      <w:proofErr w:type="gramEnd"/>
      <w:r w:rsidR="005E5800" w:rsidRPr="00BC2A51">
        <w:rPr>
          <w:color w:val="548DD4" w:themeColor="text2" w:themeTint="99"/>
          <w:sz w:val="24"/>
          <w:szCs w:val="24"/>
        </w:rPr>
        <w:t xml:space="preserve"> </w:t>
      </w:r>
      <w:proofErr w:type="gramStart"/>
      <w:r w:rsidR="005E5800" w:rsidRPr="00BC2A51">
        <w:rPr>
          <w:color w:val="548DD4" w:themeColor="text2" w:themeTint="99"/>
          <w:sz w:val="24"/>
          <w:szCs w:val="24"/>
        </w:rPr>
        <w:t xml:space="preserve">From Tennessee State Library and Archives, </w:t>
      </w:r>
      <w:r w:rsidR="005E5800" w:rsidRPr="00BC2A51">
        <w:rPr>
          <w:i/>
          <w:color w:val="548DD4" w:themeColor="text2" w:themeTint="99"/>
          <w:sz w:val="24"/>
          <w:szCs w:val="24"/>
        </w:rPr>
        <w:t>Tennessee Centennial and International Exposition (1897) Collection 1895-1900.</w:t>
      </w:r>
      <w:proofErr w:type="gramEnd"/>
    </w:p>
    <w:p w:rsidR="009457CC" w:rsidRDefault="007B57B0" w:rsidP="009457CC">
      <w:pPr>
        <w:keepNext/>
        <w:tabs>
          <w:tab w:val="left" w:pos="810"/>
          <w:tab w:val="left" w:pos="1080"/>
        </w:tabs>
        <w:spacing w:line="480" w:lineRule="auto"/>
        <w:ind w:left="720"/>
        <w:contextualSpacing/>
      </w:pPr>
      <w:r>
        <w:rPr>
          <w:rFonts w:cs="Times New Roman"/>
          <w:noProof/>
          <w:sz w:val="24"/>
          <w:szCs w:val="24"/>
        </w:rPr>
        <w:lastRenderedPageBreak/>
        <w:drawing>
          <wp:inline distT="0" distB="0" distL="0" distR="0" wp14:anchorId="3F704011" wp14:editId="5056AAA9">
            <wp:extent cx="5314950" cy="6610350"/>
            <wp:effectExtent l="0" t="0" r="0" b="0"/>
            <wp:docPr id="12" name="Picture 12" descr="C:\Users\Luke\Desktop\Thesis Pics\Letter to J.W.Tho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ke\Desktop\Thesis Pics\Letter to J.W.Thomas.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0592" r="10628" b="7618"/>
                    <a:stretch/>
                  </pic:blipFill>
                  <pic:spPr bwMode="auto">
                    <a:xfrm>
                      <a:off x="0" y="0"/>
                      <a:ext cx="5346843" cy="6650016"/>
                    </a:xfrm>
                    <a:prstGeom prst="rect">
                      <a:avLst/>
                    </a:prstGeom>
                    <a:noFill/>
                    <a:ln>
                      <a:noFill/>
                    </a:ln>
                    <a:extLst>
                      <a:ext uri="{53640926-AAD7-44D8-BBD7-CCE9431645EC}">
                        <a14:shadowObscured xmlns:a14="http://schemas.microsoft.com/office/drawing/2010/main"/>
                      </a:ext>
                    </a:extLst>
                  </pic:spPr>
                </pic:pic>
              </a:graphicData>
            </a:graphic>
          </wp:inline>
        </w:drawing>
      </w:r>
    </w:p>
    <w:p w:rsidR="009457CC" w:rsidRPr="00983130" w:rsidRDefault="009457CC" w:rsidP="00983130">
      <w:pPr>
        <w:pStyle w:val="Heading2"/>
        <w:jc w:val="center"/>
      </w:pPr>
      <w:bookmarkStart w:id="76" w:name="_Toc468630844"/>
      <w:bookmarkStart w:id="77" w:name="_Toc468649009"/>
      <w:r w:rsidRPr="00983130">
        <w:t>Figure 4</w:t>
      </w:r>
      <w:r w:rsidR="008671D4" w:rsidRPr="00983130">
        <w:noBreakHyphen/>
      </w:r>
      <w:r w:rsidR="008671D4" w:rsidRPr="00983130">
        <w:fldChar w:fldCharType="begin"/>
      </w:r>
      <w:r w:rsidR="008671D4" w:rsidRPr="00983130">
        <w:instrText xml:space="preserve"> SEQ Figure \* ARABIC \s 1 </w:instrText>
      </w:r>
      <w:r w:rsidR="008671D4" w:rsidRPr="00983130">
        <w:fldChar w:fldCharType="separate"/>
      </w:r>
      <w:r w:rsidR="00FA56AB">
        <w:rPr>
          <w:noProof/>
        </w:rPr>
        <w:t>2</w:t>
      </w:r>
      <w:r w:rsidR="008671D4" w:rsidRPr="00983130">
        <w:fldChar w:fldCharType="end"/>
      </w:r>
      <w:r w:rsidR="009825B7" w:rsidRPr="00983130">
        <w:t>:</w:t>
      </w:r>
      <w:r w:rsidRPr="00983130">
        <w:t xml:space="preserve"> E. C. Lewis to Maj. John W. Thomas, President – October 13, 1898</w:t>
      </w:r>
      <w:bookmarkEnd w:id="76"/>
      <w:bookmarkEnd w:id="77"/>
    </w:p>
    <w:p w:rsidR="009457CC" w:rsidRPr="00BC2A51" w:rsidRDefault="009457CC" w:rsidP="009457CC">
      <w:pPr>
        <w:spacing w:line="240" w:lineRule="auto"/>
        <w:contextualSpacing/>
        <w:jc w:val="center"/>
        <w:rPr>
          <w:color w:val="548DD4" w:themeColor="text2" w:themeTint="99"/>
          <w:sz w:val="24"/>
          <w:szCs w:val="24"/>
        </w:rPr>
      </w:pPr>
      <w:proofErr w:type="gramStart"/>
      <w:r>
        <w:rPr>
          <w:color w:val="548DD4" w:themeColor="text2" w:themeTint="99"/>
          <w:sz w:val="24"/>
          <w:szCs w:val="24"/>
        </w:rPr>
        <w:t>Courtesy of Tennessee State Library and Archives.</w:t>
      </w:r>
      <w:proofErr w:type="gramEnd"/>
      <w:r>
        <w:rPr>
          <w:color w:val="548DD4" w:themeColor="text2" w:themeTint="99"/>
          <w:sz w:val="24"/>
          <w:szCs w:val="24"/>
        </w:rPr>
        <w:t xml:space="preserve"> </w:t>
      </w:r>
      <w:r w:rsidRPr="009457CC">
        <w:rPr>
          <w:color w:val="548DD4" w:themeColor="text2" w:themeTint="99"/>
          <w:sz w:val="24"/>
          <w:szCs w:val="24"/>
        </w:rPr>
        <w:t>E. C. Lewis</w:t>
      </w:r>
      <w:r w:rsidRPr="00BC2A51">
        <w:rPr>
          <w:color w:val="548DD4" w:themeColor="text2" w:themeTint="99"/>
          <w:sz w:val="24"/>
          <w:szCs w:val="24"/>
        </w:rPr>
        <w:t xml:space="preserve">. </w:t>
      </w:r>
      <w:proofErr w:type="gramStart"/>
      <w:r w:rsidRPr="009457CC">
        <w:rPr>
          <w:i/>
          <w:color w:val="548DD4" w:themeColor="text2" w:themeTint="99"/>
          <w:sz w:val="24"/>
          <w:szCs w:val="24"/>
        </w:rPr>
        <w:t>E. C. Lewis to Maj. John W. Thomas, President</w:t>
      </w:r>
      <w:r>
        <w:rPr>
          <w:i/>
          <w:color w:val="548DD4" w:themeColor="text2" w:themeTint="99"/>
          <w:sz w:val="24"/>
          <w:szCs w:val="24"/>
        </w:rPr>
        <w:t>.</w:t>
      </w:r>
      <w:proofErr w:type="gramEnd"/>
      <w:r w:rsidRPr="009457CC">
        <w:rPr>
          <w:i/>
          <w:color w:val="548DD4" w:themeColor="text2" w:themeTint="99"/>
          <w:sz w:val="24"/>
          <w:szCs w:val="24"/>
        </w:rPr>
        <w:t xml:space="preserve"> October 13, 1898</w:t>
      </w:r>
      <w:r w:rsidRPr="00BC2A51">
        <w:rPr>
          <w:color w:val="548DD4" w:themeColor="text2" w:themeTint="99"/>
          <w:sz w:val="24"/>
          <w:szCs w:val="24"/>
        </w:rPr>
        <w:t xml:space="preserve">. </w:t>
      </w:r>
      <w:proofErr w:type="gramStart"/>
      <w:r w:rsidRPr="00BC2A51">
        <w:rPr>
          <w:color w:val="548DD4" w:themeColor="text2" w:themeTint="99"/>
          <w:sz w:val="24"/>
          <w:szCs w:val="24"/>
        </w:rPr>
        <w:t>Letter.</w:t>
      </w:r>
      <w:proofErr w:type="gramEnd"/>
      <w:r w:rsidRPr="00BC2A51">
        <w:rPr>
          <w:color w:val="548DD4" w:themeColor="text2" w:themeTint="99"/>
          <w:sz w:val="24"/>
          <w:szCs w:val="24"/>
        </w:rPr>
        <w:t xml:space="preserve"> </w:t>
      </w:r>
      <w:proofErr w:type="gramStart"/>
      <w:r w:rsidRPr="00BC2A51">
        <w:rPr>
          <w:color w:val="548DD4" w:themeColor="text2" w:themeTint="99"/>
          <w:sz w:val="24"/>
          <w:szCs w:val="24"/>
        </w:rPr>
        <w:t xml:space="preserve">From Tennessee State Library and Archives, </w:t>
      </w:r>
      <w:r w:rsidRPr="00BC2A51">
        <w:rPr>
          <w:i/>
          <w:color w:val="548DD4" w:themeColor="text2" w:themeTint="99"/>
          <w:sz w:val="24"/>
          <w:szCs w:val="24"/>
        </w:rPr>
        <w:t>Tennessee Centennial and International Exposition (1897) Collection 1895-1900.</w:t>
      </w:r>
      <w:proofErr w:type="gramEnd"/>
    </w:p>
    <w:p w:rsidR="007B57B0" w:rsidRDefault="007B57B0" w:rsidP="00C6483C">
      <w:pPr>
        <w:tabs>
          <w:tab w:val="left" w:pos="810"/>
          <w:tab w:val="left" w:pos="1080"/>
        </w:tabs>
        <w:spacing w:line="480" w:lineRule="auto"/>
        <w:contextualSpacing/>
        <w:rPr>
          <w:sz w:val="24"/>
        </w:rPr>
      </w:pPr>
    </w:p>
    <w:p w:rsidR="007B57B0" w:rsidRDefault="007B57B0" w:rsidP="007B57B0">
      <w:pPr>
        <w:spacing w:line="480" w:lineRule="auto"/>
        <w:contextualSpacing/>
        <w:rPr>
          <w:sz w:val="24"/>
        </w:rPr>
      </w:pPr>
      <w:r>
        <w:rPr>
          <w:sz w:val="24"/>
        </w:rPr>
        <w:t xml:space="preserve">This letter makes it abundantly clear that </w:t>
      </w:r>
      <w:r>
        <w:rPr>
          <w:sz w:val="24"/>
          <w:szCs w:val="23"/>
        </w:rPr>
        <w:t>John W. Thomas, the President</w:t>
      </w:r>
      <w:r w:rsidRPr="00C57B83">
        <w:rPr>
          <w:sz w:val="24"/>
          <w:szCs w:val="23"/>
        </w:rPr>
        <w:t xml:space="preserve"> </w:t>
      </w:r>
      <w:r>
        <w:rPr>
          <w:sz w:val="24"/>
          <w:szCs w:val="23"/>
        </w:rPr>
        <w:t xml:space="preserve">of the Nashville, Chattanooga, and St. Louis Railway companies and the President of the Centennial Exposition Company was also suggesting that a park system be created in Nashville and that “Centennial Park” was suggested to be a part of it. </w:t>
      </w:r>
    </w:p>
    <w:p w:rsidR="007B57B0" w:rsidRDefault="007B57B0" w:rsidP="007B57B0">
      <w:pPr>
        <w:spacing w:line="480" w:lineRule="auto"/>
        <w:ind w:firstLine="720"/>
        <w:contextualSpacing/>
        <w:rPr>
          <w:rFonts w:cs="Times New Roman"/>
          <w:sz w:val="24"/>
          <w:szCs w:val="24"/>
        </w:rPr>
      </w:pPr>
      <w:r>
        <w:rPr>
          <w:sz w:val="24"/>
        </w:rPr>
        <w:t>Apparently, the idea had reached such fruition that names could be tossed between elite members over the Centennial Exposition Company. This coincides with the 1894</w:t>
      </w:r>
      <w:r w:rsidRPr="007D2A0F">
        <w:rPr>
          <w:sz w:val="24"/>
        </w:rPr>
        <w:t xml:space="preserve"> </w:t>
      </w:r>
      <w:r>
        <w:rPr>
          <w:sz w:val="24"/>
        </w:rPr>
        <w:t xml:space="preserve">Tennessee Centennial Exposition meeting </w:t>
      </w:r>
      <w:r w:rsidR="000C5D0D">
        <w:rPr>
          <w:sz w:val="24"/>
        </w:rPr>
        <w:t>participants expressed their intent</w:t>
      </w:r>
      <w:r>
        <w:rPr>
          <w:sz w:val="24"/>
        </w:rPr>
        <w:t xml:space="preserve"> to create a Fine Arts Building and leave it on the grounds permanently alongside the History, Architecture, and Education Buildings.</w:t>
      </w:r>
      <w:r>
        <w:rPr>
          <w:rStyle w:val="FootnoteReference"/>
          <w:sz w:val="24"/>
        </w:rPr>
        <w:footnoteReference w:id="96"/>
      </w:r>
      <w:r>
        <w:rPr>
          <w:sz w:val="24"/>
        </w:rPr>
        <w:t xml:space="preserve"> If the buildings were to </w:t>
      </w:r>
      <w:proofErr w:type="gramStart"/>
      <w:r>
        <w:rPr>
          <w:sz w:val="24"/>
        </w:rPr>
        <w:t>be left</w:t>
      </w:r>
      <w:proofErr w:type="gramEnd"/>
      <w:r>
        <w:rPr>
          <w:sz w:val="24"/>
        </w:rPr>
        <w:t xml:space="preserve"> on the grounds, there was obviously an understood idea amongst all involved in the project, even from its early stages – to create a city park system and let the expositional grounds be a part of that system </w:t>
      </w:r>
      <w:r w:rsidR="0017350D">
        <w:rPr>
          <w:sz w:val="24"/>
        </w:rPr>
        <w:t>to</w:t>
      </w:r>
      <w:r>
        <w:rPr>
          <w:sz w:val="24"/>
        </w:rPr>
        <w:t xml:space="preserve"> serve the people of Nashville</w:t>
      </w:r>
      <w:r w:rsidR="00356361" w:rsidRPr="00356361">
        <w:rPr>
          <w:sz w:val="24"/>
        </w:rPr>
        <w:t xml:space="preserve"> </w:t>
      </w:r>
      <w:r w:rsidR="00356361">
        <w:rPr>
          <w:sz w:val="24"/>
        </w:rPr>
        <w:t>civically</w:t>
      </w:r>
      <w:r>
        <w:rPr>
          <w:sz w:val="24"/>
        </w:rPr>
        <w:t xml:space="preserve">. </w:t>
      </w:r>
    </w:p>
    <w:p w:rsidR="007B57B0" w:rsidRDefault="007B57B0" w:rsidP="007B57B0">
      <w:pPr>
        <w:suppressLineNumbers/>
        <w:spacing w:line="480" w:lineRule="auto"/>
        <w:contextualSpacing/>
        <w:rPr>
          <w:rFonts w:cs="Times New Roman"/>
          <w:sz w:val="24"/>
          <w:szCs w:val="24"/>
        </w:rPr>
      </w:pPr>
      <w:r>
        <w:rPr>
          <w:rFonts w:cs="Times New Roman"/>
          <w:sz w:val="24"/>
          <w:szCs w:val="24"/>
        </w:rPr>
        <w:tab/>
        <w:t xml:space="preserve">In Nashville, actual recreational areas and parks did not exist at the time, unless the small private amusement parks and general open spaces or “commons” are considered. </w:t>
      </w:r>
      <w:r w:rsidR="00CD7EF7">
        <w:rPr>
          <w:rFonts w:cs="Times New Roman"/>
          <w:sz w:val="24"/>
          <w:szCs w:val="24"/>
        </w:rPr>
        <w:t>As</w:t>
      </w:r>
      <w:r>
        <w:rPr>
          <w:rFonts w:cs="Times New Roman"/>
          <w:sz w:val="24"/>
          <w:szCs w:val="24"/>
        </w:rPr>
        <w:t xml:space="preserve"> Leland Johnson points out about the condition of parks at the time: </w:t>
      </w:r>
    </w:p>
    <w:p w:rsidR="007B57B0" w:rsidRDefault="007B57B0" w:rsidP="007B57B0">
      <w:pPr>
        <w:suppressLineNumbers/>
        <w:spacing w:line="480" w:lineRule="auto"/>
        <w:ind w:left="1440"/>
        <w:contextualSpacing/>
        <w:rPr>
          <w:rFonts w:cs="Times New Roman"/>
          <w:sz w:val="24"/>
          <w:szCs w:val="24"/>
        </w:rPr>
      </w:pPr>
      <w:r>
        <w:rPr>
          <w:rFonts w:cs="Times New Roman"/>
          <w:sz w:val="24"/>
          <w:szCs w:val="24"/>
        </w:rPr>
        <w:t xml:space="preserve">Some Nashvillians, after they became aware at the time of the Centennial Exposition of the potential of municipal parks, complained that the city had lagged behind others of its size in park development, but that idea was more illusory than real. It was true that the founders of the city had not included in their plat of the town several open city blocks to serve as </w:t>
      </w:r>
      <w:r>
        <w:rPr>
          <w:rFonts w:cs="Times New Roman"/>
          <w:sz w:val="24"/>
          <w:szCs w:val="24"/>
        </w:rPr>
        <w:lastRenderedPageBreak/>
        <w:t>public commons, as was done for instance at Memphis when it was platted in 1819, but the nationwide movement in support of urban parks had developed chiefly during the late 19</w:t>
      </w:r>
      <w:r w:rsidRPr="00433329">
        <w:rPr>
          <w:rFonts w:cs="Times New Roman"/>
          <w:sz w:val="24"/>
          <w:szCs w:val="24"/>
          <w:vertAlign w:val="superscript"/>
        </w:rPr>
        <w:t>th</w:t>
      </w:r>
      <w:r>
        <w:rPr>
          <w:rFonts w:cs="Times New Roman"/>
          <w:sz w:val="24"/>
          <w:szCs w:val="24"/>
        </w:rPr>
        <w:t xml:space="preserve"> century. Of the 159 American cities with populations exceeding 25,000 in 1900, 37 had no public parks, 43 had less than fifty acres of parks, and 79 had more than fifty acres. The majority of those existing municipal park systems then were less than ten years old, created during the 1890s. Nor was the park development record better at the state and federal levels: Tennessee in 1901 had not one single state park, and the half dozen national parks were located in the Far West.</w:t>
      </w:r>
      <w:r>
        <w:rPr>
          <w:rStyle w:val="FootnoteReference"/>
          <w:rFonts w:cs="Times New Roman"/>
          <w:sz w:val="24"/>
          <w:szCs w:val="24"/>
        </w:rPr>
        <w:footnoteReference w:id="97"/>
      </w:r>
      <w:r>
        <w:rPr>
          <w:rFonts w:cs="Times New Roman"/>
          <w:sz w:val="24"/>
          <w:szCs w:val="24"/>
        </w:rPr>
        <w:t xml:space="preserve"> </w:t>
      </w:r>
    </w:p>
    <w:p w:rsidR="007B57B0" w:rsidRDefault="007B57B0" w:rsidP="007B57B0">
      <w:pPr>
        <w:suppressLineNumbers/>
        <w:spacing w:line="480" w:lineRule="auto"/>
        <w:contextualSpacing/>
        <w:rPr>
          <w:rFonts w:cs="Times New Roman"/>
          <w:sz w:val="24"/>
          <w:szCs w:val="24"/>
        </w:rPr>
      </w:pPr>
      <w:r>
        <w:rPr>
          <w:rFonts w:cs="Times New Roman"/>
          <w:sz w:val="24"/>
          <w:szCs w:val="24"/>
        </w:rPr>
        <w:t xml:space="preserve">The idea of creating a park system in Nashville to keep up with other large and growing cities was nearly disillusioned. However, the idea was entirely contemporary with the growing value and interest in having open recreational spaces, especially in cities, where one could experience a purifying spiritual retreat with nature and recreational rejuvenation. No doubt, these spaces </w:t>
      </w:r>
      <w:proofErr w:type="gramStart"/>
      <w:r>
        <w:rPr>
          <w:rFonts w:cs="Times New Roman"/>
          <w:sz w:val="24"/>
          <w:szCs w:val="24"/>
        </w:rPr>
        <w:t>could be utilized</w:t>
      </w:r>
      <w:proofErr w:type="gramEnd"/>
      <w:r>
        <w:rPr>
          <w:rFonts w:cs="Times New Roman"/>
          <w:sz w:val="24"/>
          <w:szCs w:val="24"/>
        </w:rPr>
        <w:t xml:space="preserve"> for civil purposes such as community events or private business. Before the 1890s, Nashville had enough open greens surrounding the city that there was no need for an actual city-endorsed designated sacred grove for citizens. As the city grew from 17,000 in the 1860s, doubled by the 1880s, and reached 76,000 in 1890, the urbanization of the land </w:t>
      </w:r>
      <w:r w:rsidR="00C16B62">
        <w:rPr>
          <w:rFonts w:cs="Times New Roman"/>
          <w:sz w:val="24"/>
          <w:szCs w:val="24"/>
        </w:rPr>
        <w:t xml:space="preserve">required </w:t>
      </w:r>
      <w:r>
        <w:rPr>
          <w:rFonts w:cs="Times New Roman"/>
          <w:sz w:val="24"/>
          <w:szCs w:val="24"/>
        </w:rPr>
        <w:t xml:space="preserve">city action to </w:t>
      </w:r>
      <w:r w:rsidR="00341CCF">
        <w:rPr>
          <w:rFonts w:cs="Times New Roman"/>
          <w:sz w:val="24"/>
          <w:szCs w:val="24"/>
        </w:rPr>
        <w:t>secure sacred</w:t>
      </w:r>
      <w:r>
        <w:rPr>
          <w:rFonts w:cs="Times New Roman"/>
          <w:sz w:val="24"/>
          <w:szCs w:val="24"/>
        </w:rPr>
        <w:t xml:space="preserve"> groves for continued civil use.</w:t>
      </w:r>
      <w:r>
        <w:rPr>
          <w:rStyle w:val="FootnoteReference"/>
          <w:rFonts w:cs="Times New Roman"/>
          <w:sz w:val="24"/>
          <w:szCs w:val="24"/>
        </w:rPr>
        <w:footnoteReference w:id="98"/>
      </w:r>
    </w:p>
    <w:p w:rsidR="007B57B0" w:rsidRDefault="007B57B0" w:rsidP="007B57B0">
      <w:pPr>
        <w:suppressLineNumbers/>
        <w:spacing w:line="480" w:lineRule="auto"/>
        <w:contextualSpacing/>
        <w:rPr>
          <w:rFonts w:cs="Times New Roman"/>
          <w:sz w:val="24"/>
          <w:szCs w:val="24"/>
        </w:rPr>
      </w:pPr>
      <w:r>
        <w:rPr>
          <w:rFonts w:cs="Times New Roman"/>
          <w:sz w:val="24"/>
          <w:szCs w:val="24"/>
        </w:rPr>
        <w:lastRenderedPageBreak/>
        <w:tab/>
        <w:t xml:space="preserve">Some recreational areas did exist, such as Cumberland Park and West Side Park. Cumberland Park, the current location of the Tennessee State Fairgrounds, opened in 1891 off Nolensville Road and </w:t>
      </w:r>
      <w:proofErr w:type="gramStart"/>
      <w:r>
        <w:rPr>
          <w:rFonts w:cs="Times New Roman"/>
          <w:sz w:val="24"/>
          <w:szCs w:val="24"/>
        </w:rPr>
        <w:t>was used</w:t>
      </w:r>
      <w:proofErr w:type="gramEnd"/>
      <w:r>
        <w:rPr>
          <w:rFonts w:cs="Times New Roman"/>
          <w:sz w:val="24"/>
          <w:szCs w:val="24"/>
        </w:rPr>
        <w:t xml:space="preserve"> for harness or trotting races, the area’s most popular spectator sports </w:t>
      </w:r>
      <w:r w:rsidR="00A9053F">
        <w:rPr>
          <w:rFonts w:cs="Times New Roman"/>
          <w:sz w:val="24"/>
          <w:szCs w:val="24"/>
        </w:rPr>
        <w:t>before</w:t>
      </w:r>
      <w:r>
        <w:rPr>
          <w:rFonts w:cs="Times New Roman"/>
          <w:sz w:val="24"/>
          <w:szCs w:val="24"/>
        </w:rPr>
        <w:t xml:space="preserve"> baseball, until the state passed legislation against wagering in 1906.</w:t>
      </w:r>
      <w:r>
        <w:rPr>
          <w:rStyle w:val="FootnoteReference"/>
          <w:rFonts w:cs="Times New Roman"/>
          <w:sz w:val="24"/>
          <w:szCs w:val="24"/>
        </w:rPr>
        <w:footnoteReference w:id="99"/>
      </w:r>
      <w:r>
        <w:rPr>
          <w:rFonts w:cs="Times New Roman"/>
          <w:sz w:val="24"/>
          <w:szCs w:val="24"/>
        </w:rPr>
        <w:t xml:space="preserve"> West Side Park, which was previously the site of the Tennessee State Fair and </w:t>
      </w:r>
      <w:proofErr w:type="gramStart"/>
      <w:r>
        <w:rPr>
          <w:rFonts w:cs="Times New Roman"/>
          <w:sz w:val="24"/>
          <w:szCs w:val="24"/>
        </w:rPr>
        <w:t>was used</w:t>
      </w:r>
      <w:proofErr w:type="gramEnd"/>
      <w:r>
        <w:rPr>
          <w:rFonts w:cs="Times New Roman"/>
          <w:sz w:val="24"/>
          <w:szCs w:val="24"/>
        </w:rPr>
        <w:t xml:space="preserve"> for the Tennessee Centennial Exposition grounds, opened in </w:t>
      </w:r>
      <w:r w:rsidR="008200AE">
        <w:rPr>
          <w:rFonts w:cs="Times New Roman"/>
          <w:sz w:val="24"/>
          <w:szCs w:val="24"/>
        </w:rPr>
        <w:t xml:space="preserve">1884. </w:t>
      </w:r>
      <w:r w:rsidR="002F6537">
        <w:rPr>
          <w:rFonts w:cs="Times New Roman"/>
          <w:sz w:val="24"/>
          <w:szCs w:val="24"/>
        </w:rPr>
        <w:t xml:space="preserve">West Side Park acquired the large crowds from the Island Track of Lysander </w:t>
      </w:r>
      <w:proofErr w:type="spellStart"/>
      <w:r w:rsidR="002F6537">
        <w:rPr>
          <w:rFonts w:cs="Times New Roman"/>
          <w:sz w:val="24"/>
          <w:szCs w:val="24"/>
        </w:rPr>
        <w:t>McGavock</w:t>
      </w:r>
      <w:proofErr w:type="spellEnd"/>
      <w:r w:rsidR="002F6537">
        <w:rPr>
          <w:rFonts w:cs="Times New Roman"/>
          <w:sz w:val="24"/>
          <w:szCs w:val="24"/>
        </w:rPr>
        <w:t>, located near the current site of Metro Center, when it closed in 1884.</w:t>
      </w:r>
      <w:r w:rsidR="002F6537">
        <w:rPr>
          <w:rStyle w:val="FootnoteReference"/>
          <w:rFonts w:cs="Times New Roman"/>
          <w:sz w:val="24"/>
          <w:szCs w:val="24"/>
        </w:rPr>
        <w:footnoteReference w:id="100"/>
      </w:r>
      <w:r w:rsidR="002F6537">
        <w:rPr>
          <w:rFonts w:cs="Times New Roman"/>
          <w:sz w:val="24"/>
          <w:szCs w:val="24"/>
        </w:rPr>
        <w:t xml:space="preserve"> These large crowds flock</w:t>
      </w:r>
      <w:r w:rsidR="00072072">
        <w:rPr>
          <w:rFonts w:cs="Times New Roman"/>
          <w:sz w:val="24"/>
          <w:szCs w:val="24"/>
        </w:rPr>
        <w:t>ed</w:t>
      </w:r>
      <w:r w:rsidR="002F6537">
        <w:rPr>
          <w:rFonts w:cs="Times New Roman"/>
          <w:sz w:val="24"/>
          <w:szCs w:val="24"/>
        </w:rPr>
        <w:t xml:space="preserve"> to the future Centennial Park grounds, including Frank James who himself entered horses and won races at West Side Park.</w:t>
      </w:r>
      <w:r w:rsidR="002F6537">
        <w:rPr>
          <w:rStyle w:val="FootnoteReference"/>
          <w:rFonts w:cs="Times New Roman"/>
          <w:sz w:val="24"/>
          <w:szCs w:val="24"/>
        </w:rPr>
        <w:footnoteReference w:id="101"/>
      </w:r>
      <w:r w:rsidR="002F6537">
        <w:rPr>
          <w:rFonts w:cs="Times New Roman"/>
          <w:sz w:val="24"/>
          <w:szCs w:val="24"/>
        </w:rPr>
        <w:t xml:space="preserve"> </w:t>
      </w:r>
      <w:r w:rsidR="008200AE">
        <w:rPr>
          <w:rFonts w:cs="Times New Roman"/>
          <w:sz w:val="24"/>
          <w:szCs w:val="24"/>
        </w:rPr>
        <w:t>West Side Park remained a</w:t>
      </w:r>
      <w:r>
        <w:rPr>
          <w:rFonts w:cs="Times New Roman"/>
          <w:sz w:val="24"/>
          <w:szCs w:val="24"/>
        </w:rPr>
        <w:t xml:space="preserve"> racetrack until the renovation of the grounds for the Exposition. </w:t>
      </w:r>
    </w:p>
    <w:p w:rsidR="007B57B0" w:rsidRDefault="007B57B0" w:rsidP="007B57B0">
      <w:pPr>
        <w:suppressLineNumbers/>
        <w:spacing w:line="480" w:lineRule="auto"/>
        <w:contextualSpacing/>
        <w:rPr>
          <w:rFonts w:cs="Times New Roman"/>
          <w:sz w:val="24"/>
          <w:szCs w:val="24"/>
        </w:rPr>
      </w:pPr>
      <w:r>
        <w:rPr>
          <w:rFonts w:cs="Times New Roman"/>
          <w:sz w:val="24"/>
          <w:szCs w:val="24"/>
        </w:rPr>
        <w:tab/>
        <w:t xml:space="preserve">By 1900, Nashville’s population had grown to 95,000, beginning to limit the spaces for a parks system. The Centennial Exposition Company held tightly to the expositional grounds during this time. When Governor Benton </w:t>
      </w:r>
      <w:proofErr w:type="spellStart"/>
      <w:r>
        <w:rPr>
          <w:rFonts w:cs="Times New Roman"/>
          <w:sz w:val="24"/>
          <w:szCs w:val="24"/>
        </w:rPr>
        <w:t>McMillin</w:t>
      </w:r>
      <w:proofErr w:type="spellEnd"/>
      <w:r>
        <w:rPr>
          <w:rFonts w:cs="Times New Roman"/>
          <w:sz w:val="24"/>
          <w:szCs w:val="24"/>
        </w:rPr>
        <w:t xml:space="preserve"> signed the park act of April 3, 1901, Mayor James M. Head handpicked the five men who would compose the Board of Park Commissioners, most of whom had served on the administrative committees of the Centennial Exposition.</w:t>
      </w:r>
      <w:r>
        <w:rPr>
          <w:rStyle w:val="FootnoteReference"/>
          <w:rFonts w:cs="Times New Roman"/>
          <w:sz w:val="24"/>
          <w:szCs w:val="24"/>
        </w:rPr>
        <w:footnoteReference w:id="102"/>
      </w:r>
      <w:r>
        <w:rPr>
          <w:rFonts w:cs="Times New Roman"/>
          <w:sz w:val="24"/>
          <w:szCs w:val="24"/>
        </w:rPr>
        <w:t xml:space="preserve"> </w:t>
      </w:r>
      <w:proofErr w:type="gramStart"/>
      <w:r>
        <w:rPr>
          <w:rFonts w:cs="Times New Roman"/>
          <w:sz w:val="24"/>
          <w:szCs w:val="24"/>
        </w:rPr>
        <w:t xml:space="preserve">These men were Major Fountain P. </w:t>
      </w:r>
      <w:proofErr w:type="spellStart"/>
      <w:r>
        <w:rPr>
          <w:rFonts w:cs="Times New Roman"/>
          <w:sz w:val="24"/>
          <w:szCs w:val="24"/>
        </w:rPr>
        <w:t>McWhirter</w:t>
      </w:r>
      <w:proofErr w:type="spellEnd"/>
      <w:r>
        <w:rPr>
          <w:rFonts w:cs="Times New Roman"/>
          <w:sz w:val="24"/>
          <w:szCs w:val="24"/>
        </w:rPr>
        <w:t xml:space="preserve">, owner of Harris, </w:t>
      </w:r>
      <w:proofErr w:type="spellStart"/>
      <w:r>
        <w:rPr>
          <w:rFonts w:cs="Times New Roman"/>
          <w:sz w:val="24"/>
          <w:szCs w:val="24"/>
        </w:rPr>
        <w:t>McWhirter</w:t>
      </w:r>
      <w:proofErr w:type="spellEnd"/>
      <w:r>
        <w:rPr>
          <w:rFonts w:cs="Times New Roman"/>
          <w:sz w:val="24"/>
          <w:szCs w:val="24"/>
        </w:rPr>
        <w:t xml:space="preserve"> and Company; Benjamin Lindauer, a partner in the Herman and Lindauer wholesale dry goods firm and the largest dry goods firm in the South; Robert Dudley, president or director of a majority of important firms </w:t>
      </w:r>
      <w:r>
        <w:rPr>
          <w:rFonts w:cs="Times New Roman"/>
          <w:sz w:val="24"/>
          <w:szCs w:val="24"/>
        </w:rPr>
        <w:lastRenderedPageBreak/>
        <w:t xml:space="preserve">in the area such as Foster &amp; Creighton Construction Company; Major Eugene C. Lewis, engineer and Director General of the Tennessee Centennial Exposition, owner of the Nashville </w:t>
      </w:r>
      <w:r w:rsidRPr="006A2F7F">
        <w:rPr>
          <w:rFonts w:cs="Times New Roman"/>
          <w:i/>
          <w:sz w:val="24"/>
          <w:szCs w:val="24"/>
        </w:rPr>
        <w:t>American</w:t>
      </w:r>
      <w:r>
        <w:rPr>
          <w:rFonts w:cs="Times New Roman"/>
          <w:sz w:val="24"/>
          <w:szCs w:val="24"/>
        </w:rPr>
        <w:t>, and planner of the Union Station in Nashville; and Samuel A. Champion, General Counsel for the Centennial Exposition, previous law partner of James Head, and was quite politically powerful.</w:t>
      </w:r>
      <w:r>
        <w:rPr>
          <w:rStyle w:val="FootnoteReference"/>
          <w:rFonts w:cs="Times New Roman"/>
          <w:sz w:val="24"/>
          <w:szCs w:val="24"/>
        </w:rPr>
        <w:footnoteReference w:id="103"/>
      </w:r>
      <w:proofErr w:type="gramEnd"/>
      <w:r>
        <w:rPr>
          <w:rFonts w:cs="Times New Roman"/>
          <w:sz w:val="24"/>
          <w:szCs w:val="24"/>
        </w:rPr>
        <w:t xml:space="preserve"> It is necessary to note that the initial Park Board comprised of “well-to-do white males, leaders of Nashville’s aggressive commercial middle class” – most certainly a portion of Nashville’s elite.</w:t>
      </w:r>
      <w:r>
        <w:rPr>
          <w:rStyle w:val="FootnoteReference"/>
          <w:rFonts w:cs="Times New Roman"/>
          <w:sz w:val="24"/>
          <w:szCs w:val="24"/>
        </w:rPr>
        <w:footnoteReference w:id="104"/>
      </w:r>
    </w:p>
    <w:p w:rsidR="007B57B0" w:rsidRDefault="007B57B0" w:rsidP="007B57B0">
      <w:pPr>
        <w:suppressLineNumbers/>
        <w:spacing w:line="480" w:lineRule="auto"/>
        <w:contextualSpacing/>
        <w:rPr>
          <w:rFonts w:cs="Times New Roman"/>
          <w:sz w:val="24"/>
          <w:szCs w:val="24"/>
        </w:rPr>
      </w:pPr>
      <w:r>
        <w:rPr>
          <w:rFonts w:cs="Times New Roman"/>
          <w:sz w:val="24"/>
          <w:szCs w:val="24"/>
        </w:rPr>
        <w:tab/>
        <w:t>The first Park Board met on Tuesday, April 16, 1901 at four in the afternoon</w:t>
      </w:r>
      <w:r>
        <w:rPr>
          <w:rStyle w:val="FootnoteReference"/>
          <w:rFonts w:cs="Times New Roman"/>
          <w:sz w:val="24"/>
          <w:szCs w:val="24"/>
        </w:rPr>
        <w:footnoteReference w:id="105"/>
      </w:r>
      <w:r>
        <w:rPr>
          <w:rFonts w:cs="Times New Roman"/>
          <w:sz w:val="24"/>
          <w:szCs w:val="24"/>
        </w:rPr>
        <w:t xml:space="preserve"> in Mayor Head’s city hall office.</w:t>
      </w:r>
      <w:r w:rsidR="007C607D" w:rsidRPr="007C607D">
        <w:rPr>
          <w:rStyle w:val="FootnoteReference"/>
          <w:rFonts w:cs="Times New Roman"/>
          <w:sz w:val="24"/>
          <w:szCs w:val="24"/>
        </w:rPr>
        <w:t xml:space="preserve"> </w:t>
      </w:r>
      <w:r w:rsidR="007C607D">
        <w:rPr>
          <w:rStyle w:val="FootnoteReference"/>
          <w:rFonts w:cs="Times New Roman"/>
          <w:sz w:val="24"/>
          <w:szCs w:val="24"/>
        </w:rPr>
        <w:footnoteReference w:id="106"/>
      </w:r>
      <w:r>
        <w:rPr>
          <w:rFonts w:cs="Times New Roman"/>
          <w:sz w:val="24"/>
          <w:szCs w:val="24"/>
        </w:rPr>
        <w:t xml:space="preserve"> There, after swearing an allegiance to the Constitution of the United States and the Constitution of the State of Tennessee, “Mr. Champion moved that Maj. E. C. Lewis be made Chairman. The motion was seconded by Mr. Lindauer, and Maj. Lewis was elected.”</w:t>
      </w:r>
      <w:r>
        <w:rPr>
          <w:rStyle w:val="FootnoteReference"/>
          <w:rFonts w:cs="Times New Roman"/>
          <w:sz w:val="24"/>
          <w:szCs w:val="24"/>
        </w:rPr>
        <w:footnoteReference w:id="107"/>
      </w:r>
      <w:r>
        <w:rPr>
          <w:rFonts w:cs="Times New Roman"/>
          <w:sz w:val="24"/>
          <w:szCs w:val="24"/>
        </w:rPr>
        <w:t xml:space="preserve"> Between the first and second Park Board meetings, two parks, Watkins and Federal Parks, were under </w:t>
      </w:r>
      <w:r w:rsidR="00E02D4F">
        <w:rPr>
          <w:rFonts w:cs="Times New Roman"/>
          <w:sz w:val="24"/>
          <w:szCs w:val="24"/>
        </w:rPr>
        <w:t xml:space="preserve">the </w:t>
      </w:r>
      <w:r>
        <w:rPr>
          <w:rFonts w:cs="Times New Roman"/>
          <w:sz w:val="24"/>
          <w:szCs w:val="24"/>
        </w:rPr>
        <w:t xml:space="preserve">development of the new parks system with no progress on the Exposition grounds. However, before any land </w:t>
      </w:r>
      <w:proofErr w:type="gramStart"/>
      <w:r>
        <w:rPr>
          <w:rFonts w:cs="Times New Roman"/>
          <w:sz w:val="24"/>
          <w:szCs w:val="24"/>
        </w:rPr>
        <w:t>could be officially developed</w:t>
      </w:r>
      <w:proofErr w:type="gramEnd"/>
      <w:r>
        <w:rPr>
          <w:rFonts w:cs="Times New Roman"/>
          <w:sz w:val="24"/>
          <w:szCs w:val="24"/>
        </w:rPr>
        <w:t>, the Park Board saw fit to delegate a plan for the park system. Their two-point plan was as follows:</w:t>
      </w:r>
    </w:p>
    <w:p w:rsidR="007B57B0" w:rsidRDefault="007B57B0" w:rsidP="007B57B0">
      <w:pPr>
        <w:pStyle w:val="ListParagraph"/>
        <w:numPr>
          <w:ilvl w:val="0"/>
          <w:numId w:val="1"/>
        </w:numPr>
        <w:suppressLineNumbers/>
        <w:spacing w:line="480" w:lineRule="auto"/>
        <w:ind w:left="1800"/>
        <w:rPr>
          <w:rFonts w:cs="Times New Roman"/>
          <w:sz w:val="24"/>
          <w:szCs w:val="24"/>
        </w:rPr>
      </w:pPr>
      <w:r>
        <w:rPr>
          <w:rFonts w:cs="Times New Roman"/>
          <w:sz w:val="24"/>
          <w:szCs w:val="24"/>
        </w:rPr>
        <w:t xml:space="preserve">There shall be a system of large parks, consisting each of fifty or more acres, one in each section or quarter of the city or adjacent thereto. </w:t>
      </w:r>
      <w:r>
        <w:rPr>
          <w:rFonts w:cs="Times New Roman"/>
          <w:sz w:val="24"/>
          <w:szCs w:val="24"/>
        </w:rPr>
        <w:lastRenderedPageBreak/>
        <w:t xml:space="preserve">The number of large parks shall not be less than four </w:t>
      </w:r>
      <w:proofErr w:type="gramStart"/>
      <w:r>
        <w:rPr>
          <w:rFonts w:cs="Times New Roman"/>
          <w:sz w:val="24"/>
          <w:szCs w:val="24"/>
        </w:rPr>
        <w:t>nor</w:t>
      </w:r>
      <w:proofErr w:type="gramEnd"/>
      <w:r>
        <w:rPr>
          <w:rFonts w:cs="Times New Roman"/>
          <w:sz w:val="24"/>
          <w:szCs w:val="24"/>
        </w:rPr>
        <w:t xml:space="preserve"> more than five.</w:t>
      </w:r>
    </w:p>
    <w:p w:rsidR="007B57B0" w:rsidRDefault="007B57B0" w:rsidP="007B57B0">
      <w:pPr>
        <w:pStyle w:val="ListParagraph"/>
        <w:numPr>
          <w:ilvl w:val="0"/>
          <w:numId w:val="1"/>
        </w:numPr>
        <w:suppressLineNumbers/>
        <w:spacing w:line="480" w:lineRule="auto"/>
        <w:ind w:left="1800"/>
        <w:rPr>
          <w:rFonts w:cs="Times New Roman"/>
          <w:sz w:val="24"/>
          <w:szCs w:val="24"/>
        </w:rPr>
      </w:pPr>
      <w:r>
        <w:rPr>
          <w:rFonts w:cs="Times New Roman"/>
          <w:sz w:val="24"/>
          <w:szCs w:val="24"/>
        </w:rPr>
        <w:t xml:space="preserve">There shall be a system of small parks, consisting of a number of lots, plots, squares or tracts, all to be within the city limits, as said limits </w:t>
      </w:r>
      <w:proofErr w:type="gramStart"/>
      <w:r>
        <w:rPr>
          <w:rFonts w:cs="Times New Roman"/>
          <w:sz w:val="24"/>
          <w:szCs w:val="24"/>
        </w:rPr>
        <w:t>may be now or hereafter defined</w:t>
      </w:r>
      <w:proofErr w:type="gramEnd"/>
      <w:r>
        <w:rPr>
          <w:rFonts w:cs="Times New Roman"/>
          <w:sz w:val="24"/>
          <w:szCs w:val="24"/>
        </w:rPr>
        <w:t xml:space="preserve">. The location of said interior parks to </w:t>
      </w:r>
      <w:proofErr w:type="gramStart"/>
      <w:r>
        <w:rPr>
          <w:rFonts w:cs="Times New Roman"/>
          <w:sz w:val="24"/>
          <w:szCs w:val="24"/>
        </w:rPr>
        <w:t>be evenly distributed</w:t>
      </w:r>
      <w:proofErr w:type="gramEnd"/>
      <w:r>
        <w:rPr>
          <w:rFonts w:cs="Times New Roman"/>
          <w:sz w:val="24"/>
          <w:szCs w:val="24"/>
        </w:rPr>
        <w:t xml:space="preserve"> over the entire city as a wise consideration of the conditions of the topography, geography, </w:t>
      </w:r>
      <w:proofErr w:type="spellStart"/>
      <w:r>
        <w:rPr>
          <w:rFonts w:cs="Times New Roman"/>
          <w:sz w:val="24"/>
          <w:szCs w:val="24"/>
        </w:rPr>
        <w:t>populosity</w:t>
      </w:r>
      <w:proofErr w:type="spellEnd"/>
      <w:r>
        <w:rPr>
          <w:rFonts w:cs="Times New Roman"/>
          <w:sz w:val="24"/>
          <w:szCs w:val="24"/>
        </w:rPr>
        <w:t>, and economy may determine to be desirable.</w:t>
      </w:r>
      <w:r>
        <w:rPr>
          <w:rStyle w:val="FootnoteReference"/>
          <w:rFonts w:cs="Times New Roman"/>
          <w:sz w:val="24"/>
          <w:szCs w:val="24"/>
        </w:rPr>
        <w:footnoteReference w:id="108"/>
      </w:r>
    </w:p>
    <w:p w:rsidR="007B57B0" w:rsidRPr="008E3BE3" w:rsidRDefault="007B57B0" w:rsidP="007B57B0">
      <w:pPr>
        <w:suppressLineNumbers/>
        <w:tabs>
          <w:tab w:val="left" w:pos="810"/>
        </w:tabs>
        <w:spacing w:line="480" w:lineRule="auto"/>
        <w:ind w:firstLine="720"/>
        <w:contextualSpacing/>
        <w:rPr>
          <w:rFonts w:cs="Times New Roman"/>
          <w:sz w:val="24"/>
          <w:szCs w:val="24"/>
        </w:rPr>
      </w:pPr>
      <w:r>
        <w:rPr>
          <w:rFonts w:cs="Times New Roman"/>
          <w:sz w:val="24"/>
          <w:szCs w:val="24"/>
        </w:rPr>
        <w:t>With little funds available, the Park Board was revolutionary, but behind the likes of other cities such as New York with Central Park, developed in 1853 and widely recognized as “the first major public park in America.”</w:t>
      </w:r>
      <w:r>
        <w:rPr>
          <w:rStyle w:val="FootnoteReference"/>
          <w:rFonts w:cs="Times New Roman"/>
          <w:sz w:val="24"/>
          <w:szCs w:val="24"/>
        </w:rPr>
        <w:footnoteReference w:id="109"/>
      </w:r>
      <w:r>
        <w:rPr>
          <w:rFonts w:cs="Times New Roman"/>
          <w:sz w:val="24"/>
          <w:szCs w:val="24"/>
        </w:rPr>
        <w:t xml:space="preserve"> Hoping to somehow acquire the historic land that was a 640-acre farm, owned by John and Ann Cockrill, a portion of Vanderbilt University’s campus, a station of the Natchez Trace, a staging area for troops in the War of 1812 and the Civil War, the Tennessee State Fairgrounds, West Side Park racetrack, and site of the Tennessee Centennial Exposition.</w:t>
      </w:r>
      <w:r>
        <w:rPr>
          <w:rStyle w:val="FootnoteReference"/>
          <w:rFonts w:cs="Times New Roman"/>
          <w:sz w:val="24"/>
          <w:szCs w:val="24"/>
        </w:rPr>
        <w:footnoteReference w:id="110"/>
      </w:r>
      <w:r>
        <w:rPr>
          <w:rFonts w:cs="Times New Roman"/>
          <w:sz w:val="24"/>
          <w:szCs w:val="24"/>
        </w:rPr>
        <w:t xml:space="preserve"> Legal and financial negotiations began in 1902 when the Centennial Land Company announced that they would be subdividing and selling the “seventy-two acres of historical property.”</w:t>
      </w:r>
      <w:r>
        <w:rPr>
          <w:rStyle w:val="FootnoteReference"/>
          <w:rFonts w:cs="Times New Roman"/>
          <w:sz w:val="24"/>
          <w:szCs w:val="24"/>
        </w:rPr>
        <w:footnoteReference w:id="111"/>
      </w:r>
      <w:r>
        <w:rPr>
          <w:rFonts w:cs="Times New Roman"/>
          <w:sz w:val="24"/>
          <w:szCs w:val="24"/>
        </w:rPr>
        <w:t xml:space="preserve"> On Tuesday, January 28, 1902 at three in the afternoon, Mr. </w:t>
      </w:r>
      <w:proofErr w:type="spellStart"/>
      <w:r>
        <w:rPr>
          <w:rFonts w:cs="Times New Roman"/>
          <w:sz w:val="24"/>
          <w:szCs w:val="24"/>
        </w:rPr>
        <w:t>McWhirter</w:t>
      </w:r>
      <w:proofErr w:type="spellEnd"/>
      <w:r>
        <w:rPr>
          <w:rFonts w:cs="Times New Roman"/>
          <w:sz w:val="24"/>
          <w:szCs w:val="24"/>
        </w:rPr>
        <w:t xml:space="preserve"> moved, and the </w:t>
      </w:r>
      <w:r>
        <w:rPr>
          <w:rFonts w:cs="Times New Roman"/>
          <w:sz w:val="24"/>
          <w:szCs w:val="24"/>
        </w:rPr>
        <w:lastRenderedPageBreak/>
        <w:t>Park Board approved, that Major Lewis would contact the President of the Centennial Park Land Company to begin negotiations.</w:t>
      </w:r>
      <w:r>
        <w:rPr>
          <w:rStyle w:val="FootnoteReference"/>
          <w:rFonts w:cs="Times New Roman"/>
          <w:sz w:val="24"/>
          <w:szCs w:val="24"/>
        </w:rPr>
        <w:footnoteReference w:id="112"/>
      </w:r>
    </w:p>
    <w:p w:rsidR="007B57B0" w:rsidRDefault="007B57B0" w:rsidP="007B57B0">
      <w:pPr>
        <w:suppressLineNumbers/>
        <w:spacing w:line="480" w:lineRule="auto"/>
        <w:ind w:firstLine="720"/>
        <w:contextualSpacing/>
        <w:rPr>
          <w:rFonts w:cs="Times New Roman"/>
          <w:sz w:val="24"/>
          <w:szCs w:val="24"/>
        </w:rPr>
      </w:pPr>
      <w:r>
        <w:rPr>
          <w:rFonts w:cs="Times New Roman"/>
          <w:sz w:val="24"/>
          <w:szCs w:val="24"/>
        </w:rPr>
        <w:t xml:space="preserve">These negotiations were far </w:t>
      </w:r>
      <w:r w:rsidR="00E40DF6">
        <w:rPr>
          <w:rFonts w:cs="Times New Roman"/>
          <w:sz w:val="24"/>
          <w:szCs w:val="24"/>
        </w:rPr>
        <w:t>from</w:t>
      </w:r>
      <w:r>
        <w:rPr>
          <w:rFonts w:cs="Times New Roman"/>
          <w:sz w:val="24"/>
          <w:szCs w:val="24"/>
        </w:rPr>
        <w:t xml:space="preserve"> smooth. Representatives from the Centennial Exposition Company – Samuel J. Keith, Johnson </w:t>
      </w:r>
      <w:proofErr w:type="spellStart"/>
      <w:r>
        <w:rPr>
          <w:rFonts w:cs="Times New Roman"/>
          <w:sz w:val="24"/>
          <w:szCs w:val="24"/>
        </w:rPr>
        <w:t>Bransford</w:t>
      </w:r>
      <w:proofErr w:type="spellEnd"/>
      <w:r>
        <w:rPr>
          <w:rFonts w:cs="Times New Roman"/>
          <w:sz w:val="24"/>
          <w:szCs w:val="24"/>
        </w:rPr>
        <w:t xml:space="preserve">, Joseph H. Thompson, V. E. </w:t>
      </w:r>
      <w:proofErr w:type="spellStart"/>
      <w:r>
        <w:rPr>
          <w:rFonts w:cs="Times New Roman"/>
          <w:sz w:val="24"/>
          <w:szCs w:val="24"/>
        </w:rPr>
        <w:t>Shwab</w:t>
      </w:r>
      <w:proofErr w:type="spellEnd"/>
      <w:r>
        <w:rPr>
          <w:rFonts w:cs="Times New Roman"/>
          <w:sz w:val="24"/>
          <w:szCs w:val="24"/>
        </w:rPr>
        <w:t xml:space="preserve">, and F. O. Watts – met with the Park Board where Major Lewis informed them of the Park Board’s eagerness to secure the grounds despite the lack of funds. </w:t>
      </w:r>
      <w:proofErr w:type="gramStart"/>
      <w:r>
        <w:rPr>
          <w:rFonts w:cs="Times New Roman"/>
          <w:sz w:val="24"/>
          <w:szCs w:val="24"/>
        </w:rPr>
        <w:t xml:space="preserve">The company desired to sell the land for </w:t>
      </w:r>
      <w:r w:rsidR="0014356F">
        <w:rPr>
          <w:rFonts w:cs="Times New Roman"/>
          <w:sz w:val="24"/>
          <w:szCs w:val="24"/>
        </w:rPr>
        <w:t>$150,000 but would sell it for $</w:t>
      </w:r>
      <w:r>
        <w:rPr>
          <w:rFonts w:cs="Times New Roman"/>
          <w:sz w:val="24"/>
          <w:szCs w:val="24"/>
        </w:rPr>
        <w:t>125,000 to the city.</w:t>
      </w:r>
      <w:proofErr w:type="gramEnd"/>
      <w:r>
        <w:rPr>
          <w:rFonts w:cs="Times New Roman"/>
          <w:sz w:val="24"/>
          <w:szCs w:val="24"/>
        </w:rPr>
        <w:t xml:space="preserve"> Major Lewis disagreed that the land was worth no more than $72,000 but offered $100,000.</w:t>
      </w:r>
      <w:r>
        <w:rPr>
          <w:rStyle w:val="FootnoteReference"/>
          <w:rFonts w:cs="Times New Roman"/>
          <w:sz w:val="24"/>
          <w:szCs w:val="24"/>
        </w:rPr>
        <w:footnoteReference w:id="113"/>
      </w:r>
      <w:r>
        <w:rPr>
          <w:rFonts w:cs="Times New Roman"/>
          <w:sz w:val="24"/>
          <w:szCs w:val="24"/>
        </w:rPr>
        <w:t xml:space="preserve"> Negotiations failed. </w:t>
      </w:r>
    </w:p>
    <w:p w:rsidR="007B57B0" w:rsidRDefault="007B57B0" w:rsidP="007B57B0">
      <w:pPr>
        <w:suppressLineNumbers/>
        <w:spacing w:line="480" w:lineRule="auto"/>
        <w:ind w:firstLine="720"/>
        <w:contextualSpacing/>
        <w:rPr>
          <w:rFonts w:cs="Times New Roman"/>
          <w:sz w:val="24"/>
          <w:szCs w:val="24"/>
        </w:rPr>
      </w:pPr>
      <w:r>
        <w:rPr>
          <w:rFonts w:cs="Times New Roman"/>
          <w:sz w:val="24"/>
          <w:szCs w:val="24"/>
        </w:rPr>
        <w:t>The Mayor, James Head, then pursue</w:t>
      </w:r>
      <w:r w:rsidR="009B26D7">
        <w:rPr>
          <w:rFonts w:cs="Times New Roman"/>
          <w:sz w:val="24"/>
          <w:szCs w:val="24"/>
        </w:rPr>
        <w:t>d</w:t>
      </w:r>
      <w:r>
        <w:rPr>
          <w:rFonts w:cs="Times New Roman"/>
          <w:sz w:val="24"/>
          <w:szCs w:val="24"/>
        </w:rPr>
        <w:t xml:space="preserve"> a route to gain the grounds. Catching the electric streetcar company, the Nashville Railway Company, in a complex litigation concerning bonds, the Mayor had Samuel Champion and James Brown pursue legal action that lasted over a year and went as far as the Tennessee Supreme Court. When the company restructured after its bankruptcy in 1901, the court appointed Percy Warner and E. C. Lewis as new managers of the streetcar company, removing it from the out-of-town investors and placing it in the hands of two powerful Nashvillians. Major Head acted quickly, knowing that Percy Warner wished to control the Cumberland Electric Light and Power Company. </w:t>
      </w:r>
      <w:proofErr w:type="gramStart"/>
      <w:r>
        <w:rPr>
          <w:rFonts w:cs="Times New Roman"/>
          <w:sz w:val="24"/>
          <w:szCs w:val="24"/>
        </w:rPr>
        <w:t>The mayor proceeded to bluff out Warner (who wanted to buy the CELPC, reconstruct the lines, and only pay two percent for exclusive Park Board improvements to compensate for his capitalist endeavors) by building a city-</w:t>
      </w:r>
      <w:r>
        <w:rPr>
          <w:rFonts w:cs="Times New Roman"/>
          <w:sz w:val="24"/>
          <w:szCs w:val="24"/>
        </w:rPr>
        <w:lastRenderedPageBreak/>
        <w:t>owned power plant and creating the stipulation that Warner could be granted his wish if the newly formed Nashville Railway and Light Company would purchase Centennial Park and give it to the city.</w:t>
      </w:r>
      <w:r>
        <w:rPr>
          <w:rStyle w:val="FootnoteReference"/>
          <w:rFonts w:cs="Times New Roman"/>
          <w:sz w:val="24"/>
          <w:szCs w:val="24"/>
        </w:rPr>
        <w:footnoteReference w:id="114"/>
      </w:r>
      <w:proofErr w:type="gramEnd"/>
      <w:r>
        <w:rPr>
          <w:rFonts w:cs="Times New Roman"/>
          <w:sz w:val="24"/>
          <w:szCs w:val="24"/>
        </w:rPr>
        <w:t xml:space="preserve"> Warner agreed, the Mayor ceased construction on the city-owned power plant, and Centennial Park was officially the Park Board’s first large park.</w:t>
      </w:r>
      <w:r>
        <w:rPr>
          <w:rStyle w:val="FootnoteReference"/>
          <w:rFonts w:cs="Times New Roman"/>
          <w:sz w:val="24"/>
          <w:szCs w:val="24"/>
        </w:rPr>
        <w:footnoteReference w:id="115"/>
      </w:r>
      <w:r>
        <w:rPr>
          <w:rFonts w:cs="Times New Roman"/>
          <w:sz w:val="24"/>
          <w:szCs w:val="24"/>
        </w:rPr>
        <w:t xml:space="preserve"> On Monday, December 30, 1902, the Park Board officially and unanimously named the park, moved by Mr. Champion and seconded by Mr. </w:t>
      </w:r>
      <w:proofErr w:type="spellStart"/>
      <w:r>
        <w:rPr>
          <w:rFonts w:cs="Times New Roman"/>
          <w:sz w:val="24"/>
          <w:szCs w:val="24"/>
        </w:rPr>
        <w:t>McWhirter</w:t>
      </w:r>
      <w:proofErr w:type="spellEnd"/>
      <w:r>
        <w:rPr>
          <w:rFonts w:cs="Times New Roman"/>
          <w:sz w:val="24"/>
          <w:szCs w:val="24"/>
        </w:rPr>
        <w:t>, as “Centennial Park.”</w:t>
      </w:r>
      <w:r>
        <w:rPr>
          <w:rStyle w:val="FootnoteReference"/>
          <w:rFonts w:cs="Times New Roman"/>
          <w:sz w:val="24"/>
          <w:szCs w:val="24"/>
        </w:rPr>
        <w:footnoteReference w:id="116"/>
      </w:r>
    </w:p>
    <w:p w:rsidR="007B57B0" w:rsidRPr="00202044" w:rsidRDefault="007B57B0" w:rsidP="007B57B0">
      <w:pPr>
        <w:suppressLineNumbers/>
        <w:spacing w:line="480" w:lineRule="auto"/>
        <w:ind w:firstLine="720"/>
        <w:contextualSpacing/>
        <w:rPr>
          <w:rFonts w:cs="Times New Roman"/>
          <w:sz w:val="24"/>
          <w:szCs w:val="24"/>
        </w:rPr>
      </w:pPr>
      <w:r>
        <w:rPr>
          <w:rFonts w:cs="Times New Roman"/>
          <w:sz w:val="24"/>
          <w:szCs w:val="24"/>
        </w:rPr>
        <w:t>Dubious financial dealings were not the only haunting portion of Centennial Park’s acquisition and the Park Board’s early development. Major Lewis collided with the Tennessee Central Railroad plans of Jere Baxter, who received the support of Mayor Head. When Mayor Head announced his support of Baxter, Major Lewis officially severed himself from the city’s administration. At the last meeting of the Park Board in 1902, Major Lewis arrived late only to find that Samuel Champion had the Park Board resolve</w:t>
      </w:r>
      <w:r w:rsidR="00FF4EBB">
        <w:rPr>
          <w:rFonts w:cs="Times New Roman"/>
          <w:sz w:val="24"/>
          <w:szCs w:val="24"/>
        </w:rPr>
        <w:t>d</w:t>
      </w:r>
      <w:r>
        <w:rPr>
          <w:rFonts w:cs="Times New Roman"/>
          <w:sz w:val="24"/>
          <w:szCs w:val="24"/>
        </w:rPr>
        <w:t xml:space="preserve"> that it would elect </w:t>
      </w:r>
      <w:proofErr w:type="gramStart"/>
      <w:r>
        <w:rPr>
          <w:rFonts w:cs="Times New Roman"/>
          <w:sz w:val="24"/>
          <w:szCs w:val="24"/>
        </w:rPr>
        <w:t>chairmen</w:t>
      </w:r>
      <w:proofErr w:type="gramEnd"/>
      <w:r>
        <w:rPr>
          <w:rFonts w:cs="Times New Roman"/>
          <w:sz w:val="24"/>
          <w:szCs w:val="24"/>
        </w:rPr>
        <w:t xml:space="preserve"> without nominations and that Ben Lindauer was the new Chairman of the Park Board. Major Lewis would never again serve as chair, but would remain on the Park Board since he </w:t>
      </w:r>
      <w:proofErr w:type="gramStart"/>
      <w:r>
        <w:rPr>
          <w:rFonts w:cs="Times New Roman"/>
          <w:sz w:val="24"/>
          <w:szCs w:val="24"/>
        </w:rPr>
        <w:t>could not be removed</w:t>
      </w:r>
      <w:proofErr w:type="gramEnd"/>
      <w:r>
        <w:rPr>
          <w:rFonts w:cs="Times New Roman"/>
          <w:sz w:val="24"/>
          <w:szCs w:val="24"/>
        </w:rPr>
        <w:t>; “he remained on the Board and was the most active of its members in park development, devoting much of its time and some personal funds to their improvement.</w:t>
      </w:r>
      <w:r>
        <w:rPr>
          <w:rStyle w:val="FootnoteReference"/>
          <w:rFonts w:cs="Times New Roman"/>
          <w:sz w:val="24"/>
          <w:szCs w:val="24"/>
        </w:rPr>
        <w:footnoteReference w:id="117"/>
      </w:r>
      <w:r>
        <w:rPr>
          <w:rFonts w:cs="Times New Roman"/>
          <w:sz w:val="24"/>
          <w:szCs w:val="24"/>
        </w:rPr>
        <w:t xml:space="preserve">” He worked without pay as an unofficial chief design engineer and construction superintendent for the city parks, </w:t>
      </w:r>
      <w:r>
        <w:rPr>
          <w:rFonts w:cs="Times New Roman"/>
          <w:sz w:val="24"/>
          <w:szCs w:val="24"/>
        </w:rPr>
        <w:lastRenderedPageBreak/>
        <w:t>and reflecting upon his resolutions about the Park Board, Major Lewis said, “It pains me to see things done wrong, so I preferred to do them myself rather than possibly. It might not be done quite so well by somebody else.”</w:t>
      </w:r>
      <w:r>
        <w:rPr>
          <w:rStyle w:val="FootnoteReference"/>
          <w:rFonts w:cs="Times New Roman"/>
          <w:sz w:val="24"/>
          <w:szCs w:val="24"/>
        </w:rPr>
        <w:footnoteReference w:id="118"/>
      </w:r>
    </w:p>
    <w:p w:rsidR="007B57B0" w:rsidRPr="005C6A67" w:rsidRDefault="007B57B0" w:rsidP="007B57B0">
      <w:pPr>
        <w:spacing w:line="480" w:lineRule="auto"/>
        <w:contextualSpacing/>
        <w:rPr>
          <w:sz w:val="24"/>
        </w:rPr>
      </w:pPr>
      <w:r>
        <w:tab/>
      </w:r>
      <w:r w:rsidRPr="005C6A67">
        <w:rPr>
          <w:sz w:val="24"/>
        </w:rPr>
        <w:t>Armed with Parthenon letterhead, the Park Board proceeded to meet in a building left in Centennial Park, draw up bylaws, and establish regulations for the new parks in the park system. After James Dunbar, Superintendent Creighton, and Wilbur Creighton, his son, tore down the Auditorium from the Exposition</w:t>
      </w:r>
      <w:r>
        <w:rPr>
          <w:sz w:val="24"/>
        </w:rPr>
        <w:t>, t</w:t>
      </w:r>
      <w:r w:rsidRPr="005C6A67">
        <w:rPr>
          <w:sz w:val="24"/>
        </w:rPr>
        <w:t xml:space="preserve">hey also made repairs to the already deteriorating exterior-grade plaster of the Parthenon. The Parthenon was then dressed up with a large development program for Centennial Park. </w:t>
      </w:r>
      <w:proofErr w:type="gramStart"/>
      <w:r w:rsidRPr="005C6A67">
        <w:rPr>
          <w:sz w:val="24"/>
        </w:rPr>
        <w:t xml:space="preserve">This development program began with bath houses for the community for $7,500; some bass </w:t>
      </w:r>
      <w:r w:rsidR="008B3D28">
        <w:rPr>
          <w:sz w:val="24"/>
        </w:rPr>
        <w:t>for</w:t>
      </w:r>
      <w:r w:rsidRPr="005C6A67">
        <w:rPr>
          <w:sz w:val="24"/>
        </w:rPr>
        <w:t xml:space="preserve"> the lake; two huge alligators (that were removed after the local wildlife population began to diminish); 850</w:t>
      </w:r>
      <w:r w:rsidR="008B3D28">
        <w:rPr>
          <w:sz w:val="24"/>
        </w:rPr>
        <w:t xml:space="preserve"> trees and shrubs purchased by h</w:t>
      </w:r>
      <w:r w:rsidRPr="005C6A67">
        <w:rPr>
          <w:sz w:val="24"/>
        </w:rPr>
        <w:t xml:space="preserve">orticulturist W. F. </w:t>
      </w:r>
      <w:proofErr w:type="spellStart"/>
      <w:r w:rsidRPr="005C6A67">
        <w:rPr>
          <w:sz w:val="24"/>
        </w:rPr>
        <w:t>Josolyne</w:t>
      </w:r>
      <w:proofErr w:type="spellEnd"/>
      <w:r w:rsidRPr="005C6A67">
        <w:rPr>
          <w:sz w:val="24"/>
        </w:rPr>
        <w:t xml:space="preserve">; flowers donated by florists George B. </w:t>
      </w:r>
      <w:proofErr w:type="spellStart"/>
      <w:r w:rsidRPr="005C6A67">
        <w:rPr>
          <w:sz w:val="24"/>
        </w:rPr>
        <w:t>Moudler</w:t>
      </w:r>
      <w:proofErr w:type="spellEnd"/>
      <w:r w:rsidRPr="005C6A67">
        <w:rPr>
          <w:sz w:val="24"/>
        </w:rPr>
        <w:t xml:space="preserve"> and Joy and Sons;  and a general cleanup of the grounds, restored roads, boats for the lake, and repairs to the buildings costing around $18,000 (including general workers’ salaries).</w:t>
      </w:r>
      <w:proofErr w:type="gramEnd"/>
      <w:r w:rsidRPr="005C6A67">
        <w:rPr>
          <w:sz w:val="24"/>
        </w:rPr>
        <w:t xml:space="preserve"> Cornelius A. Craig donated lawn swings for the development of Centennial Park, and Foster &amp; Creighton Company </w:t>
      </w:r>
      <w:r w:rsidR="00EE1891">
        <w:rPr>
          <w:sz w:val="24"/>
        </w:rPr>
        <w:t>donated crushed stone to repair</w:t>
      </w:r>
      <w:r w:rsidRPr="005C6A67">
        <w:rPr>
          <w:sz w:val="24"/>
        </w:rPr>
        <w:t xml:space="preserve"> the roadways, helping the Park Board compensate for their $25,000</w:t>
      </w:r>
      <w:r w:rsidR="00EE1891">
        <w:rPr>
          <w:sz w:val="24"/>
        </w:rPr>
        <w:t xml:space="preserve"> budget. Many</w:t>
      </w:r>
      <w:r w:rsidRPr="005C6A67">
        <w:rPr>
          <w:sz w:val="24"/>
        </w:rPr>
        <w:t xml:space="preserve"> generous monetary donations </w:t>
      </w:r>
      <w:r w:rsidR="00EE1891">
        <w:rPr>
          <w:sz w:val="24"/>
        </w:rPr>
        <w:t xml:space="preserve">also </w:t>
      </w:r>
      <w:r w:rsidRPr="005C6A67">
        <w:rPr>
          <w:sz w:val="24"/>
        </w:rPr>
        <w:t>aided in the Board’s finances.</w:t>
      </w:r>
      <w:r w:rsidRPr="005C6A67">
        <w:rPr>
          <w:rStyle w:val="FootnoteReference"/>
          <w:sz w:val="24"/>
        </w:rPr>
        <w:footnoteReference w:id="119"/>
      </w:r>
      <w:r w:rsidRPr="005C6A67">
        <w:rPr>
          <w:sz w:val="24"/>
        </w:rPr>
        <w:t xml:space="preserve"> Development still taking place, Centennial Park opened </w:t>
      </w:r>
      <w:r w:rsidR="000E2BE7">
        <w:rPr>
          <w:sz w:val="24"/>
        </w:rPr>
        <w:t xml:space="preserve">in </w:t>
      </w:r>
      <w:r w:rsidRPr="005C6A67">
        <w:rPr>
          <w:sz w:val="24"/>
        </w:rPr>
        <w:t xml:space="preserve">May 1903 with the </w:t>
      </w:r>
      <w:proofErr w:type="gramStart"/>
      <w:r w:rsidRPr="005C6A67">
        <w:rPr>
          <w:sz w:val="24"/>
        </w:rPr>
        <w:t>Parthenon still</w:t>
      </w:r>
      <w:proofErr w:type="gramEnd"/>
      <w:r w:rsidRPr="005C6A67">
        <w:rPr>
          <w:sz w:val="24"/>
        </w:rPr>
        <w:t xml:space="preserve"> remaining at its core. </w:t>
      </w:r>
    </w:p>
    <w:p w:rsidR="007B57B0" w:rsidRDefault="007B57B0" w:rsidP="007B57B0">
      <w:pPr>
        <w:spacing w:line="480" w:lineRule="auto"/>
        <w:contextualSpacing/>
        <w:rPr>
          <w:sz w:val="24"/>
        </w:rPr>
      </w:pPr>
      <w:r w:rsidRPr="005C6A67">
        <w:rPr>
          <w:sz w:val="24"/>
        </w:rPr>
        <w:lastRenderedPageBreak/>
        <w:tab/>
        <w:t xml:space="preserve">In 1906, Major Lewis had </w:t>
      </w:r>
      <w:r w:rsidR="0001433E">
        <w:rPr>
          <w:sz w:val="24"/>
        </w:rPr>
        <w:t>Robert and Wilbur Creighton beg</w:t>
      </w:r>
      <w:r w:rsidR="004E0BFC">
        <w:rPr>
          <w:sz w:val="24"/>
        </w:rPr>
        <w:t>i</w:t>
      </w:r>
      <w:r w:rsidRPr="005C6A67">
        <w:rPr>
          <w:sz w:val="24"/>
        </w:rPr>
        <w:t>n more improvements of Centennial Park by placing a bandstand near the sacred groves surrounding the Parthenon and a bridge over Lake Watauga using the newly developed reinforced concrete – a construction material that attracted engineers’ attention across the nation.</w:t>
      </w:r>
      <w:r w:rsidRPr="005C6A67">
        <w:rPr>
          <w:rStyle w:val="FootnoteReference"/>
          <w:sz w:val="24"/>
        </w:rPr>
        <w:footnoteReference w:id="120"/>
      </w:r>
      <w:r w:rsidRPr="005C6A67">
        <w:rPr>
          <w:sz w:val="24"/>
        </w:rPr>
        <w:t xml:space="preserve"> Major Lewis also oversaw the construction </w:t>
      </w:r>
      <w:r>
        <w:rPr>
          <w:sz w:val="24"/>
        </w:rPr>
        <w:t>of</w:t>
      </w:r>
      <w:r w:rsidRPr="005C6A67">
        <w:rPr>
          <w:sz w:val="24"/>
        </w:rPr>
        <w:t xml:space="preserve"> multiple other structures around this time included the Shell Spring and the concrete replica of a ship’s prow, on which the figurehead of the U.S. Tennessee was placed in 1910.</w:t>
      </w:r>
      <w:r w:rsidRPr="005C6A67">
        <w:rPr>
          <w:rStyle w:val="FootnoteReference"/>
          <w:sz w:val="24"/>
        </w:rPr>
        <w:footnoteReference w:id="121"/>
      </w:r>
      <w:r>
        <w:rPr>
          <w:sz w:val="24"/>
        </w:rPr>
        <w:t xml:space="preserve"> </w:t>
      </w:r>
      <w:proofErr w:type="gramStart"/>
      <w:r>
        <w:rPr>
          <w:sz w:val="24"/>
        </w:rPr>
        <w:t>These still</w:t>
      </w:r>
      <w:proofErr w:type="gramEnd"/>
      <w:r>
        <w:rPr>
          <w:sz w:val="24"/>
        </w:rPr>
        <w:t xml:space="preserve"> remain save for the bandstand, which was deconstructed due to its limited band space (it could only accommodate a small brass band). In 1909, the Park Board also began developing a playground in Centennial Park from the nationwide influence of the Playground and Recreation Association of America</w:t>
      </w:r>
      <w:r w:rsidR="008552CD">
        <w:rPr>
          <w:sz w:val="24"/>
        </w:rPr>
        <w:t>,</w:t>
      </w:r>
      <w:r>
        <w:rPr>
          <w:sz w:val="24"/>
        </w:rPr>
        <w:t xml:space="preserve"> in 1906</w:t>
      </w:r>
      <w:r w:rsidR="008552CD">
        <w:rPr>
          <w:sz w:val="24"/>
        </w:rPr>
        <w:t>,</w:t>
      </w:r>
      <w:r>
        <w:rPr>
          <w:sz w:val="24"/>
        </w:rPr>
        <w:t xml:space="preserve"> and one of its leaders, President Theodore Roosevelt, who emphasized these recreational spaces by announcing, “Playgrounds are a necessary means for the development of wholesome citizenship in modern cities.”</w:t>
      </w:r>
      <w:r>
        <w:rPr>
          <w:rStyle w:val="FootnoteReference"/>
          <w:sz w:val="24"/>
        </w:rPr>
        <w:footnoteReference w:id="122"/>
      </w:r>
      <w:r>
        <w:rPr>
          <w:sz w:val="24"/>
        </w:rPr>
        <w:t xml:space="preserve"> Therefore, if Nashville were to remain a “modern city” and have “wholesome citizens,” Centennial Park and the other parks under the Park Board needed to include playgrounds.</w:t>
      </w:r>
    </w:p>
    <w:p w:rsidR="007B57B0" w:rsidRDefault="007B57B0" w:rsidP="007B57B0">
      <w:pPr>
        <w:spacing w:line="480" w:lineRule="auto"/>
        <w:contextualSpacing/>
        <w:rPr>
          <w:sz w:val="24"/>
        </w:rPr>
      </w:pPr>
      <w:r>
        <w:rPr>
          <w:sz w:val="24"/>
        </w:rPr>
        <w:tab/>
        <w:t xml:space="preserve">However, Centennial Park began to become unfriendly to those seeking refuge in the sacred groves of nature at the park. The Parthenon itself was not as resolute as was the notion of “Athens of the South” in the minds of Nashville’s leaders since the pediment sculptures were falling by 1920. By this point, most of the original Park Board </w:t>
      </w:r>
      <w:r>
        <w:rPr>
          <w:sz w:val="24"/>
        </w:rPr>
        <w:lastRenderedPageBreak/>
        <w:t>members, including Major Lewis, had died save for Robert Dudley. The new Park Board in the years thereafter consist</w:t>
      </w:r>
      <w:r w:rsidR="00685E0E">
        <w:rPr>
          <w:sz w:val="24"/>
        </w:rPr>
        <w:t>ed</w:t>
      </w:r>
      <w:r>
        <w:rPr>
          <w:sz w:val="24"/>
        </w:rPr>
        <w:t xml:space="preserve"> of M. T. Bryan, Robert T. Creighton, </w:t>
      </w:r>
      <w:proofErr w:type="spellStart"/>
      <w:r>
        <w:rPr>
          <w:sz w:val="24"/>
        </w:rPr>
        <w:t>Whitfoord</w:t>
      </w:r>
      <w:proofErr w:type="spellEnd"/>
      <w:r>
        <w:rPr>
          <w:sz w:val="24"/>
        </w:rPr>
        <w:t xml:space="preserve"> R. Cole, Lee J. </w:t>
      </w:r>
      <w:proofErr w:type="spellStart"/>
      <w:r>
        <w:rPr>
          <w:sz w:val="24"/>
        </w:rPr>
        <w:t>Loventhal</w:t>
      </w:r>
      <w:proofErr w:type="spellEnd"/>
      <w:r>
        <w:rPr>
          <w:sz w:val="24"/>
        </w:rPr>
        <w:t>, Charles M. McCabe, and Percy Warner.</w:t>
      </w:r>
      <w:r>
        <w:rPr>
          <w:rStyle w:val="FootnoteReference"/>
          <w:sz w:val="24"/>
        </w:rPr>
        <w:footnoteReference w:id="123"/>
      </w:r>
      <w:r>
        <w:rPr>
          <w:sz w:val="24"/>
        </w:rPr>
        <w:t xml:space="preserve"> These members </w:t>
      </w:r>
      <w:r w:rsidR="000440A7">
        <w:rPr>
          <w:sz w:val="24"/>
        </w:rPr>
        <w:t>oversaw</w:t>
      </w:r>
      <w:r>
        <w:rPr>
          <w:sz w:val="24"/>
        </w:rPr>
        <w:t xml:space="preserve"> the reconstruction of the Parthenon in more permanent materials and realign</w:t>
      </w:r>
      <w:r w:rsidR="000440A7">
        <w:rPr>
          <w:sz w:val="24"/>
        </w:rPr>
        <w:t>ed</w:t>
      </w:r>
      <w:r>
        <w:rPr>
          <w:sz w:val="24"/>
        </w:rPr>
        <w:t xml:space="preserve"> the symbol with the cultural identity of the “Athens of the South.” </w:t>
      </w:r>
      <w:r>
        <w:rPr>
          <w:sz w:val="24"/>
        </w:rPr>
        <w:tab/>
      </w:r>
    </w:p>
    <w:p w:rsidR="007B57B0" w:rsidRDefault="007B57B0" w:rsidP="007B57B0">
      <w:pPr>
        <w:spacing w:line="480" w:lineRule="auto"/>
        <w:contextualSpacing/>
        <w:rPr>
          <w:sz w:val="24"/>
        </w:rPr>
      </w:pPr>
      <w:r>
        <w:rPr>
          <w:sz w:val="24"/>
        </w:rPr>
        <w:tab/>
        <w:t xml:space="preserve">Russell E. Hart </w:t>
      </w:r>
      <w:proofErr w:type="gramStart"/>
      <w:r>
        <w:rPr>
          <w:sz w:val="24"/>
        </w:rPr>
        <w:t>was commissioned</w:t>
      </w:r>
      <w:proofErr w:type="gramEnd"/>
      <w:r>
        <w:rPr>
          <w:sz w:val="24"/>
        </w:rPr>
        <w:t xml:space="preserve"> to draw up plans for a new Parthenon. When Hart joined Freeland-Roberts</w:t>
      </w:r>
      <w:r w:rsidR="002B3A75">
        <w:rPr>
          <w:sz w:val="24"/>
        </w:rPr>
        <w:t>,</w:t>
      </w:r>
      <w:r>
        <w:rPr>
          <w:sz w:val="24"/>
        </w:rPr>
        <w:t xml:space="preserve"> and his plans were intact, Freeland-Roberts decided upon using concrete for the life-size </w:t>
      </w:r>
      <w:r w:rsidRPr="002B3A75">
        <w:rPr>
          <w:sz w:val="24"/>
          <w:szCs w:val="24"/>
        </w:rPr>
        <w:t>replicated symbol since marble was too costly.</w:t>
      </w:r>
      <w:r w:rsidR="004E0BFC" w:rsidRPr="004E0BFC">
        <w:rPr>
          <w:rStyle w:val="FootnoteReference"/>
          <w:sz w:val="24"/>
          <w:szCs w:val="24"/>
        </w:rPr>
        <w:t xml:space="preserve"> </w:t>
      </w:r>
      <w:r w:rsidR="004E0BFC" w:rsidRPr="002B3A75">
        <w:rPr>
          <w:rStyle w:val="FootnoteReference"/>
          <w:sz w:val="24"/>
          <w:szCs w:val="24"/>
        </w:rPr>
        <w:footnoteReference w:id="124"/>
      </w:r>
      <w:r w:rsidRPr="002B3A75">
        <w:rPr>
          <w:sz w:val="24"/>
          <w:szCs w:val="24"/>
        </w:rPr>
        <w:t xml:space="preserve"> Foster and Creighton Company then received the contract to rebuild in 1922</w:t>
      </w:r>
      <w:r w:rsidRPr="002B3A75">
        <w:rPr>
          <w:rStyle w:val="FootnoteReference"/>
          <w:sz w:val="24"/>
          <w:szCs w:val="24"/>
        </w:rPr>
        <w:footnoteReference w:id="125"/>
      </w:r>
      <w:r w:rsidRPr="002B3A75">
        <w:rPr>
          <w:sz w:val="24"/>
          <w:szCs w:val="24"/>
        </w:rPr>
        <w:t xml:space="preserve"> with Park Supervisor Clarence Connell as the construction </w:t>
      </w:r>
      <w:proofErr w:type="gramStart"/>
      <w:r w:rsidRPr="002B3A75">
        <w:rPr>
          <w:sz w:val="24"/>
          <w:szCs w:val="24"/>
        </w:rPr>
        <w:t>foreman</w:t>
      </w:r>
      <w:proofErr w:type="gramEnd"/>
      <w:r w:rsidRPr="002B3A75">
        <w:rPr>
          <w:sz w:val="24"/>
          <w:szCs w:val="24"/>
        </w:rPr>
        <w:t>.</w:t>
      </w:r>
      <w:r w:rsidRPr="002B3A75">
        <w:rPr>
          <w:rStyle w:val="FootnoteReference"/>
          <w:sz w:val="24"/>
          <w:szCs w:val="24"/>
        </w:rPr>
        <w:footnoteReference w:id="126"/>
      </w:r>
      <w:r w:rsidRPr="002B3A75">
        <w:rPr>
          <w:sz w:val="24"/>
          <w:szCs w:val="24"/>
        </w:rPr>
        <w:t xml:space="preserve"> The permanent </w:t>
      </w:r>
      <w:r w:rsidR="00CB7E96">
        <w:rPr>
          <w:sz w:val="24"/>
          <w:szCs w:val="24"/>
        </w:rPr>
        <w:t>structure</w:t>
      </w:r>
      <w:r w:rsidRPr="002B3A75">
        <w:rPr>
          <w:sz w:val="24"/>
          <w:szCs w:val="24"/>
        </w:rPr>
        <w:t xml:space="preserve"> include</w:t>
      </w:r>
      <w:r w:rsidR="004E0BFC">
        <w:rPr>
          <w:sz w:val="24"/>
          <w:szCs w:val="24"/>
        </w:rPr>
        <w:t>d</w:t>
      </w:r>
      <w:r w:rsidRPr="002B3A75">
        <w:rPr>
          <w:sz w:val="24"/>
          <w:szCs w:val="24"/>
        </w:rPr>
        <w:t xml:space="preserve"> a more accurate exterior and an exact interior, since the interior housed only visual art at the Exposition. More research </w:t>
      </w:r>
      <w:r w:rsidR="00AB0182">
        <w:rPr>
          <w:sz w:val="24"/>
          <w:szCs w:val="24"/>
        </w:rPr>
        <w:t>had</w:t>
      </w:r>
      <w:r w:rsidRPr="002B3A75">
        <w:rPr>
          <w:sz w:val="24"/>
          <w:szCs w:val="24"/>
        </w:rPr>
        <w:t xml:space="preserve"> to </w:t>
      </w:r>
      <w:proofErr w:type="gramStart"/>
      <w:r w:rsidRPr="002B3A75">
        <w:rPr>
          <w:sz w:val="24"/>
          <w:szCs w:val="24"/>
        </w:rPr>
        <w:t>be conducted</w:t>
      </w:r>
      <w:proofErr w:type="gramEnd"/>
      <w:r w:rsidRPr="002B3A75">
        <w:rPr>
          <w:sz w:val="24"/>
          <w:szCs w:val="24"/>
        </w:rPr>
        <w:t xml:space="preserve"> and a permanent material discovered, since</w:t>
      </w:r>
      <w:r w:rsidRPr="002B3A75">
        <w:rPr>
          <w:sz w:val="24"/>
        </w:rPr>
        <w:t xml:space="preserve"> </w:t>
      </w:r>
      <w:r w:rsidRPr="009F3657">
        <w:rPr>
          <w:sz w:val="24"/>
        </w:rPr>
        <w:t xml:space="preserve">marble was far too expensive, an issue the </w:t>
      </w:r>
      <w:r w:rsidR="007F1298">
        <w:rPr>
          <w:sz w:val="24"/>
        </w:rPr>
        <w:t xml:space="preserve">ancient </w:t>
      </w:r>
      <w:r w:rsidRPr="009F3657">
        <w:rPr>
          <w:sz w:val="24"/>
        </w:rPr>
        <w:t xml:space="preserve">Greeks never faced. Hart decided the best material was reinforced concrete, the latest development in materials, and covered it with “newly patented concrete aggregate formulated by the John Early Studio in Washington, D.C.,” </w:t>
      </w:r>
      <w:r w:rsidR="00131217">
        <w:rPr>
          <w:sz w:val="24"/>
        </w:rPr>
        <w:t xml:space="preserve">which could be </w:t>
      </w:r>
      <w:r w:rsidRPr="009F3657">
        <w:rPr>
          <w:sz w:val="24"/>
        </w:rPr>
        <w:t xml:space="preserve">colored to appear as marble and allow for red </w:t>
      </w:r>
      <w:r w:rsidRPr="00EC358F">
        <w:rPr>
          <w:sz w:val="24"/>
        </w:rPr>
        <w:t>and blue trim.</w:t>
      </w:r>
      <w:r w:rsidRPr="00EC358F">
        <w:rPr>
          <w:rStyle w:val="FootnoteReference"/>
          <w:sz w:val="24"/>
        </w:rPr>
        <w:footnoteReference w:id="127"/>
      </w:r>
      <w:r>
        <w:rPr>
          <w:sz w:val="24"/>
        </w:rPr>
        <w:t xml:space="preserve"> However, as Leland R. Johnson points out, despite their best efforts, trouble still loomed over the reconstruction of this cultural icon:</w:t>
      </w:r>
    </w:p>
    <w:p w:rsidR="007B57B0" w:rsidRDefault="007B57B0" w:rsidP="007B57B0">
      <w:pPr>
        <w:spacing w:line="480" w:lineRule="auto"/>
        <w:ind w:left="1440"/>
        <w:contextualSpacing/>
        <w:rPr>
          <w:sz w:val="24"/>
        </w:rPr>
      </w:pPr>
      <w:r>
        <w:rPr>
          <w:sz w:val="24"/>
        </w:rPr>
        <w:lastRenderedPageBreak/>
        <w:t xml:space="preserve">Removing the exterior plaster and wooden lath framing, the </w:t>
      </w:r>
      <w:proofErr w:type="gramStart"/>
      <w:r>
        <w:rPr>
          <w:sz w:val="24"/>
        </w:rPr>
        <w:t>workmen</w:t>
      </w:r>
      <w:proofErr w:type="gramEnd"/>
      <w:r>
        <w:rPr>
          <w:sz w:val="24"/>
        </w:rPr>
        <w:t xml:space="preserve"> installed metal lathing and wire mesh and hoisted concrete to the roof for pouring into the forms for the wall and columns. </w:t>
      </w:r>
      <w:proofErr w:type="spellStart"/>
      <w:r>
        <w:rPr>
          <w:sz w:val="24"/>
        </w:rPr>
        <w:t>Early’s</w:t>
      </w:r>
      <w:proofErr w:type="spellEnd"/>
      <w:r>
        <w:rPr>
          <w:sz w:val="24"/>
        </w:rPr>
        <w:t xml:space="preserve"> colored finish, composed of a mixture of cement, quartz, and Potomac River gravel, when applied to the concrete recreated the golden burnish of the ancient Parthenon [from the marble’s aging]. The exterior reconstruction </w:t>
      </w:r>
      <w:proofErr w:type="gramStart"/>
      <w:r>
        <w:rPr>
          <w:sz w:val="24"/>
        </w:rPr>
        <w:t>was nearly completed</w:t>
      </w:r>
      <w:proofErr w:type="gramEnd"/>
      <w:r>
        <w:rPr>
          <w:sz w:val="24"/>
        </w:rPr>
        <w:t xml:space="preserve"> by 1923 when a tornado tore off part of the building’s roof and the repairs exhausted the funds then available for the work. The Board therefore suspended the reconstruction while seeking additional funding and considering various plans for the design of the building’s interior.</w:t>
      </w:r>
      <w:r>
        <w:rPr>
          <w:rStyle w:val="FootnoteReference"/>
          <w:sz w:val="24"/>
        </w:rPr>
        <w:footnoteReference w:id="128"/>
      </w:r>
    </w:p>
    <w:p w:rsidR="007B57B0" w:rsidRPr="00F6471F" w:rsidRDefault="007B57B0" w:rsidP="007B57B0">
      <w:pPr>
        <w:spacing w:line="480" w:lineRule="auto"/>
        <w:ind w:firstLine="720"/>
        <w:contextualSpacing/>
        <w:rPr>
          <w:sz w:val="24"/>
        </w:rPr>
      </w:pPr>
      <w:r>
        <w:rPr>
          <w:sz w:val="24"/>
        </w:rPr>
        <w:t xml:space="preserve">More turmoil was to ensue. Conflict arose between the Park Board and Mrs. Sarah Bradford and </w:t>
      </w:r>
      <w:r w:rsidR="00BC1046">
        <w:rPr>
          <w:sz w:val="24"/>
        </w:rPr>
        <w:t xml:space="preserve">the </w:t>
      </w:r>
      <w:r>
        <w:rPr>
          <w:sz w:val="24"/>
        </w:rPr>
        <w:t xml:space="preserve">Art Commission. The Park Board desired to recreate the full Athenian Parthenon in Nashville, securing the relational identity with Athens and </w:t>
      </w:r>
      <w:r w:rsidR="00FD761E">
        <w:rPr>
          <w:sz w:val="24"/>
        </w:rPr>
        <w:t xml:space="preserve">to </w:t>
      </w:r>
      <w:r>
        <w:rPr>
          <w:sz w:val="24"/>
        </w:rPr>
        <w:t>use the basement of the Exposition Parthenon as an art gallery, while Mrs. Bradford moved for the interior to be a replica of the Hall of Sculpture at Pittsburg’s Carnegie Museum of Art.</w:t>
      </w:r>
      <w:r>
        <w:rPr>
          <w:rStyle w:val="FootnoteReference"/>
          <w:sz w:val="24"/>
        </w:rPr>
        <w:footnoteReference w:id="129"/>
      </w:r>
      <w:r>
        <w:rPr>
          <w:sz w:val="24"/>
        </w:rPr>
        <w:t xml:space="preserve"> Debate became so fierce that the Park Board halted support of the Nashville Arts Commission in 1927. The Park Board continued with their plans for the conversion of the basement into an art gallery, “so as not to violate the spirit of the Parthenon, which was always a temple of some god, by placing painting upon its walls” as the Parthenon’s </w:t>
      </w:r>
      <w:r>
        <w:rPr>
          <w:sz w:val="24"/>
        </w:rPr>
        <w:lastRenderedPageBreak/>
        <w:t>first Director Benjamin Franklin Wilson III states.</w:t>
      </w:r>
      <w:r>
        <w:rPr>
          <w:rStyle w:val="FootnoteReference"/>
          <w:sz w:val="24"/>
        </w:rPr>
        <w:footnoteReference w:id="130"/>
      </w:r>
      <w:r>
        <w:rPr>
          <w:sz w:val="24"/>
        </w:rPr>
        <w:t xml:space="preserve"> However, evidence exists that at some point during construction of the exterior, plans </w:t>
      </w:r>
      <w:proofErr w:type="gramStart"/>
      <w:r>
        <w:rPr>
          <w:sz w:val="24"/>
        </w:rPr>
        <w:t>were made</w:t>
      </w:r>
      <w:proofErr w:type="gramEnd"/>
      <w:r>
        <w:rPr>
          <w:sz w:val="24"/>
        </w:rPr>
        <w:t xml:space="preserve"> to hang art, as the inner </w:t>
      </w:r>
      <w:r w:rsidRPr="00F6471F">
        <w:rPr>
          <w:i/>
          <w:sz w:val="24"/>
        </w:rPr>
        <w:t>hekatompedes naos</w:t>
      </w:r>
      <w:r>
        <w:rPr>
          <w:sz w:val="24"/>
        </w:rPr>
        <w:t xml:space="preserve"> is lined with supports to hang artwork on the concrete walls. This plan </w:t>
      </w:r>
      <w:proofErr w:type="gramStart"/>
      <w:r>
        <w:rPr>
          <w:sz w:val="24"/>
        </w:rPr>
        <w:t>was apparently abandoned</w:t>
      </w:r>
      <w:proofErr w:type="gramEnd"/>
      <w:r>
        <w:rPr>
          <w:sz w:val="24"/>
        </w:rPr>
        <w:t xml:space="preserve"> for the awe the temple inspired. </w:t>
      </w:r>
      <w:proofErr w:type="gramStart"/>
      <w:r>
        <w:rPr>
          <w:sz w:val="24"/>
        </w:rPr>
        <w:t xml:space="preserve">Even though the space was </w:t>
      </w:r>
      <w:r w:rsidR="00A64E73">
        <w:rPr>
          <w:sz w:val="24"/>
        </w:rPr>
        <w:t>not</w:t>
      </w:r>
      <w:r>
        <w:rPr>
          <w:sz w:val="24"/>
        </w:rPr>
        <w:t xml:space="preserve"> used to worship Athena, it was still highly regard and respected, as Director Wilson continues, “Visitors going down these stairways [to the art gallery in the basement] are as effectually out of the Parthenon as though they went down the steps on the outside of the building”</w:t>
      </w:r>
      <w:r>
        <w:rPr>
          <w:rStyle w:val="FootnoteReference"/>
          <w:sz w:val="24"/>
        </w:rPr>
        <w:footnoteReference w:id="131"/>
      </w:r>
      <w:r>
        <w:rPr>
          <w:sz w:val="24"/>
        </w:rPr>
        <w:t xml:space="preserve"> – the temple still held reverence despite its </w:t>
      </w:r>
      <w:proofErr w:type="spellStart"/>
      <w:r>
        <w:rPr>
          <w:sz w:val="24"/>
        </w:rPr>
        <w:t>relocational</w:t>
      </w:r>
      <w:proofErr w:type="spellEnd"/>
      <w:r>
        <w:rPr>
          <w:sz w:val="24"/>
        </w:rPr>
        <w:t xml:space="preserve"> </w:t>
      </w:r>
      <w:proofErr w:type="spellStart"/>
      <w:r>
        <w:rPr>
          <w:sz w:val="24"/>
        </w:rPr>
        <w:t>readapation</w:t>
      </w:r>
      <w:proofErr w:type="spellEnd"/>
      <w:r>
        <w:rPr>
          <w:sz w:val="24"/>
        </w:rPr>
        <w:t xml:space="preserve"> within the sacred groves of Centennial Park.</w:t>
      </w:r>
      <w:proofErr w:type="gramEnd"/>
    </w:p>
    <w:p w:rsidR="007B57B0" w:rsidRDefault="007B57B0" w:rsidP="007B57B0">
      <w:pPr>
        <w:spacing w:line="480" w:lineRule="auto"/>
        <w:ind w:firstLine="720"/>
        <w:contextualSpacing/>
        <w:rPr>
          <w:sz w:val="24"/>
        </w:rPr>
      </w:pPr>
      <w:r w:rsidRPr="008255C9">
        <w:rPr>
          <w:sz w:val="24"/>
        </w:rPr>
        <w:t>Needing assistance with his research, Hart hired William Bell Dinsmoor, “the foremost authori</w:t>
      </w:r>
      <w:r w:rsidR="00BF7B43">
        <w:rPr>
          <w:sz w:val="24"/>
        </w:rPr>
        <w:t>ty on ancient architecture</w:t>
      </w:r>
      <w:r w:rsidRPr="008255C9">
        <w:rPr>
          <w:sz w:val="24"/>
        </w:rPr>
        <w:t>”</w:t>
      </w:r>
      <w:r w:rsidRPr="008255C9">
        <w:rPr>
          <w:rStyle w:val="FootnoteReference"/>
          <w:sz w:val="24"/>
        </w:rPr>
        <w:footnoteReference w:id="132"/>
      </w:r>
      <w:r w:rsidRPr="008255C9">
        <w:rPr>
          <w:sz w:val="24"/>
        </w:rPr>
        <w:t xml:space="preserve"> </w:t>
      </w:r>
      <w:r w:rsidR="00BF7B43">
        <w:rPr>
          <w:sz w:val="24"/>
        </w:rPr>
        <w:t xml:space="preserve">and professor of architecture at Columbia University in New York and in the American School of Classical Studies at Athens. </w:t>
      </w:r>
      <w:r w:rsidRPr="008255C9">
        <w:rPr>
          <w:sz w:val="24"/>
        </w:rPr>
        <w:t xml:space="preserve">The exterior of the Parthenon </w:t>
      </w:r>
      <w:proofErr w:type="gramStart"/>
      <w:r w:rsidRPr="008255C9">
        <w:rPr>
          <w:sz w:val="24"/>
        </w:rPr>
        <w:t>was completed</w:t>
      </w:r>
      <w:proofErr w:type="gramEnd"/>
      <w:r w:rsidRPr="008255C9">
        <w:rPr>
          <w:sz w:val="24"/>
        </w:rPr>
        <w:t xml:space="preserve"> in 1925, and the interior was completed in 1931. In every detail of the plan, the refinements</w:t>
      </w:r>
      <w:r w:rsidRPr="009F3657">
        <w:rPr>
          <w:sz w:val="24"/>
        </w:rPr>
        <w:t>, and the sculptures, the Nashville Parthenon is an extremely close replica. As Dinsmoor stated, “While there are several more or less faithful modern replicas of the exterior of the Parthenon, the only reproduction of the interior at full size is that which I designed in 1927 for the Parthenon in Nashv</w:t>
      </w:r>
      <w:r>
        <w:rPr>
          <w:sz w:val="24"/>
        </w:rPr>
        <w:t>ille, Tennessee</w:t>
      </w:r>
      <w:r w:rsidRPr="009F3657">
        <w:rPr>
          <w:sz w:val="24"/>
        </w:rPr>
        <w:t>.</w:t>
      </w:r>
      <w:r>
        <w:rPr>
          <w:sz w:val="24"/>
        </w:rPr>
        <w:t>”</w:t>
      </w:r>
      <w:r>
        <w:rPr>
          <w:rStyle w:val="FootnoteReference"/>
          <w:sz w:val="24"/>
        </w:rPr>
        <w:footnoteReference w:id="133"/>
      </w:r>
      <w:r w:rsidRPr="009F3657">
        <w:rPr>
          <w:sz w:val="24"/>
        </w:rPr>
        <w:t xml:space="preserve"> </w:t>
      </w:r>
    </w:p>
    <w:p w:rsidR="007B57B0" w:rsidRPr="00BE1027" w:rsidRDefault="007B57B0" w:rsidP="007B57B0">
      <w:pPr>
        <w:spacing w:line="480" w:lineRule="auto"/>
        <w:ind w:firstLine="720"/>
        <w:contextualSpacing/>
        <w:rPr>
          <w:sz w:val="24"/>
          <w:u w:val="single"/>
        </w:rPr>
      </w:pPr>
      <w:r w:rsidRPr="00EC358F">
        <w:rPr>
          <w:sz w:val="24"/>
        </w:rPr>
        <w:lastRenderedPageBreak/>
        <w:t xml:space="preserve">Needing further help in sculpting and designing, Hart hired George Zolnay, who sculpted the pediments on the Exposition Parthenon, to recreate the metopes, while hiring Belle Kinney and Leopold Scholz to recreate the east and west pediments. Both Belle Kinney and Leopold Scholz </w:t>
      </w:r>
      <w:r w:rsidR="008B1AE1">
        <w:rPr>
          <w:sz w:val="24"/>
        </w:rPr>
        <w:t>coordinated</w:t>
      </w:r>
      <w:r w:rsidRPr="00EC358F">
        <w:rPr>
          <w:sz w:val="24"/>
        </w:rPr>
        <w:t xml:space="preserve"> with Russell Hart later to create the bronze doors. Once created, the large doors </w:t>
      </w:r>
      <w:proofErr w:type="gramStart"/>
      <w:r w:rsidRPr="00EC358F">
        <w:rPr>
          <w:sz w:val="24"/>
        </w:rPr>
        <w:t>were brought into the Nashvillian Parthenon on ice because of their weight and placed on the hinges</w:t>
      </w:r>
      <w:proofErr w:type="gramEnd"/>
      <w:r w:rsidRPr="00EC358F">
        <w:rPr>
          <w:sz w:val="24"/>
        </w:rPr>
        <w:t>. The ice melted, and the seven and a half ton doors with lion</w:t>
      </w:r>
      <w:r w:rsidRPr="009F3657">
        <w:rPr>
          <w:sz w:val="24"/>
        </w:rPr>
        <w:t xml:space="preserve"> medallions and serpent door handles were mounted. Additionally, the tilt and entasis of the columns, the convex curves in the stylobate, and all other refinements and features </w:t>
      </w:r>
      <w:proofErr w:type="gramStart"/>
      <w:r w:rsidR="008B1AE1">
        <w:rPr>
          <w:sz w:val="24"/>
        </w:rPr>
        <w:t>were</w:t>
      </w:r>
      <w:r w:rsidRPr="009F3657">
        <w:rPr>
          <w:sz w:val="24"/>
        </w:rPr>
        <w:t xml:space="preserve"> reproduced</w:t>
      </w:r>
      <w:proofErr w:type="gramEnd"/>
      <w:r w:rsidRPr="009F3657">
        <w:rPr>
          <w:sz w:val="24"/>
        </w:rPr>
        <w:t xml:space="preserve"> accurately. Even though completed in roughly the </w:t>
      </w:r>
      <w:r w:rsidR="00367E4E">
        <w:rPr>
          <w:sz w:val="24"/>
        </w:rPr>
        <w:t>amount of time</w:t>
      </w:r>
      <w:r w:rsidRPr="009F3657">
        <w:rPr>
          <w:sz w:val="24"/>
        </w:rPr>
        <w:t xml:space="preserve"> as the Athenian Parthenon, the Nashvillian Parthenon used different materials, already had templates</w:t>
      </w:r>
      <w:r>
        <w:rPr>
          <w:sz w:val="24"/>
        </w:rPr>
        <w:t xml:space="preserve"> and casts, and, when opened on May 21, </w:t>
      </w:r>
      <w:r w:rsidRPr="009F3657">
        <w:rPr>
          <w:sz w:val="24"/>
        </w:rPr>
        <w:t>1931, most importantly lacked the statue of Athena and the Ionic frieze</w:t>
      </w:r>
      <w:r>
        <w:rPr>
          <w:sz w:val="24"/>
        </w:rPr>
        <w:t>. However, despite its incomplete nature, 10,757 tourists, three-fourths from Tennessee and the rest from 45 other states and 12 other countries visited in the first month, as reported by Director Wilson.</w:t>
      </w:r>
      <w:r>
        <w:rPr>
          <w:rStyle w:val="FootnoteReference"/>
          <w:sz w:val="24"/>
        </w:rPr>
        <w:footnoteReference w:id="134"/>
      </w:r>
    </w:p>
    <w:p w:rsidR="007B57B0" w:rsidRDefault="007B57B0" w:rsidP="007B57B0">
      <w:pPr>
        <w:spacing w:line="480" w:lineRule="auto"/>
        <w:ind w:firstLine="720"/>
        <w:contextualSpacing/>
        <w:rPr>
          <w:sz w:val="24"/>
        </w:rPr>
      </w:pPr>
      <w:r>
        <w:rPr>
          <w:sz w:val="24"/>
        </w:rPr>
        <w:t xml:space="preserve">The Parthenon itself was a direct symbol of the cultural identity and heritage of Nashville embodying the “Athens of the South.” Its design and replication certainly appealed to the aristocracy of Nashville, from its prestigious columns to its highly regarded art collection. It was this educated elite that had fostered this identity in the early nineteenth century, and it was this educated elite that continued this identity through the architectural replication of the famous symbol of ancient Athenian history, </w:t>
      </w:r>
      <w:r>
        <w:rPr>
          <w:sz w:val="24"/>
        </w:rPr>
        <w:lastRenderedPageBreak/>
        <w:t>culture, progress, and democratic ideas</w:t>
      </w:r>
      <w:proofErr w:type="gramStart"/>
      <w:r>
        <w:rPr>
          <w:sz w:val="24"/>
        </w:rPr>
        <w:t xml:space="preserve">.  </w:t>
      </w:r>
      <w:proofErr w:type="gramEnd"/>
      <w:r>
        <w:rPr>
          <w:sz w:val="24"/>
        </w:rPr>
        <w:t xml:space="preserve">Replicating the exalted sacred space still held scared meaning for some cultural leaders in Nashville until the prominence of the identity began to diminish due to other cultural advancements </w:t>
      </w:r>
      <w:r w:rsidR="008735B2">
        <w:rPr>
          <w:sz w:val="24"/>
        </w:rPr>
        <w:t xml:space="preserve">for which </w:t>
      </w:r>
      <w:r>
        <w:rPr>
          <w:sz w:val="24"/>
        </w:rPr>
        <w:t xml:space="preserve">the city </w:t>
      </w:r>
      <w:proofErr w:type="gramStart"/>
      <w:r>
        <w:rPr>
          <w:sz w:val="24"/>
        </w:rPr>
        <w:t>was credited</w:t>
      </w:r>
      <w:proofErr w:type="gramEnd"/>
      <w:r>
        <w:rPr>
          <w:sz w:val="24"/>
        </w:rPr>
        <w:t>. The twentieth century brought new challenges, struggles, and opportunities for America and for Tennessee specifically. The people of Nashville, who once flocked to the cultural prestige of relating themselves to a classical culture, considered to be the cradle of Western culture itself, now flocked to a new identity created within the ashes of World War I: “Music City.”</w:t>
      </w:r>
    </w:p>
    <w:p w:rsidR="007B57B0" w:rsidRDefault="007B57B0" w:rsidP="007B57B0">
      <w:pPr>
        <w:spacing w:line="480" w:lineRule="auto"/>
        <w:ind w:firstLine="720"/>
        <w:contextualSpacing/>
        <w:rPr>
          <w:sz w:val="24"/>
        </w:rPr>
      </w:pPr>
      <w:r>
        <w:rPr>
          <w:sz w:val="24"/>
        </w:rPr>
        <w:t>When WSM first signed on as an AM station in 1925, listeners took to the live broadcast of the Grand Ole Opry, the longest running radio broadcast in history. WSM Director George D. Hay host</w:t>
      </w:r>
      <w:r w:rsidR="001F050D">
        <w:rPr>
          <w:sz w:val="24"/>
        </w:rPr>
        <w:t>ed</w:t>
      </w:r>
      <w:r>
        <w:rPr>
          <w:sz w:val="24"/>
        </w:rPr>
        <w:t xml:space="preserve"> the “barn dance” on Saturday nights after the “Music Appreciation Hour” of classical music. In 1927, Director Hay introduce</w:t>
      </w:r>
      <w:r w:rsidR="001F050D">
        <w:rPr>
          <w:sz w:val="24"/>
        </w:rPr>
        <w:t>d</w:t>
      </w:r>
      <w:r>
        <w:rPr>
          <w:sz w:val="24"/>
        </w:rPr>
        <w:t xml:space="preserve"> the barn dance saying, “For the past hour, you have been listening to music taken largely from the Grand Opera, but from now on we will present the Grand Ole Opry.”</w:t>
      </w:r>
      <w:r>
        <w:rPr>
          <w:rStyle w:val="FootnoteReference"/>
          <w:sz w:val="24"/>
        </w:rPr>
        <w:footnoteReference w:id="135"/>
      </w:r>
      <w:r>
        <w:rPr>
          <w:sz w:val="24"/>
        </w:rPr>
        <w:t xml:space="preserve"> Some more prestigious citizens of Nashville were not in tune with the presentation of barn dancing on the new broadcasting technology, but the cultural identity of Nashville </w:t>
      </w:r>
      <w:r w:rsidR="001F050D">
        <w:rPr>
          <w:sz w:val="24"/>
        </w:rPr>
        <w:t>shifted</w:t>
      </w:r>
      <w:r>
        <w:rPr>
          <w:sz w:val="24"/>
        </w:rPr>
        <w:t xml:space="preserve"> from the hands of the elite to the entire population of Nashville, as the technology of the radio spread and entered homes across the nation. In 1932, a new radio tower had the strength to reach the entire nation with this Nashville identity, and this identity set the new cultural reputation of “Music City” as solid as the concrete in the replicated Parthenon. Though the cultural identity of “Athens of the South</w:t>
      </w:r>
      <w:proofErr w:type="gramStart"/>
      <w:r w:rsidR="000F7FE5">
        <w:rPr>
          <w:sz w:val="24"/>
        </w:rPr>
        <w:t xml:space="preserve">” </w:t>
      </w:r>
      <w:r>
        <w:rPr>
          <w:sz w:val="24"/>
        </w:rPr>
        <w:t>still</w:t>
      </w:r>
      <w:proofErr w:type="gramEnd"/>
      <w:r>
        <w:rPr>
          <w:sz w:val="24"/>
        </w:rPr>
        <w:t xml:space="preserve"> remains known to </w:t>
      </w:r>
      <w:r>
        <w:rPr>
          <w:sz w:val="24"/>
        </w:rPr>
        <w:lastRenderedPageBreak/>
        <w:t xml:space="preserve">this day, the majority of the population in Nashville and across the nation are familiar with Nashville as “Music City” because of the commercial broadcasting waves </w:t>
      </w:r>
      <w:r w:rsidR="00887878">
        <w:rPr>
          <w:sz w:val="24"/>
        </w:rPr>
        <w:t>of the early twentieth century.</w:t>
      </w:r>
    </w:p>
    <w:p w:rsidR="007B57B0" w:rsidRDefault="007B57B0" w:rsidP="007B57B0">
      <w:pPr>
        <w:spacing w:line="480" w:lineRule="auto"/>
        <w:ind w:firstLine="720"/>
        <w:contextualSpacing/>
        <w:rPr>
          <w:sz w:val="24"/>
        </w:rPr>
      </w:pPr>
      <w:proofErr w:type="gramStart"/>
      <w:r>
        <w:rPr>
          <w:sz w:val="24"/>
        </w:rPr>
        <w:t>The reign of the Park Board, an independent board that operated the city parks and continued the “Athens of the South” identity, ended on March 12, 1963 after sixty-two years with Chairman Edwin Crutcher.</w:t>
      </w:r>
      <w:proofErr w:type="gramEnd"/>
      <w:r>
        <w:rPr>
          <w:sz w:val="24"/>
        </w:rPr>
        <w:t xml:space="preserve"> When the final meeting </w:t>
      </w:r>
      <w:proofErr w:type="gramStart"/>
      <w:r>
        <w:rPr>
          <w:sz w:val="24"/>
        </w:rPr>
        <w:t>was called</w:t>
      </w:r>
      <w:proofErr w:type="gramEnd"/>
      <w:r>
        <w:rPr>
          <w:sz w:val="24"/>
        </w:rPr>
        <w:t>, the Park Board controlled four thousand acres of park grounds, one hundred full-time employees, and an annual budget exceeding one million dollars.</w:t>
      </w:r>
      <w:r>
        <w:rPr>
          <w:rStyle w:val="FootnoteReference"/>
          <w:sz w:val="24"/>
        </w:rPr>
        <w:footnoteReference w:id="136"/>
      </w:r>
      <w:r w:rsidR="008D3312">
        <w:rPr>
          <w:sz w:val="24"/>
        </w:rPr>
        <w:t xml:space="preserve"> </w:t>
      </w:r>
      <w:r w:rsidR="00597419">
        <w:rPr>
          <w:sz w:val="24"/>
        </w:rPr>
        <w:t>T</w:t>
      </w:r>
      <w:r>
        <w:rPr>
          <w:sz w:val="24"/>
        </w:rPr>
        <w:t>he birth of “Metro</w:t>
      </w:r>
      <w:r w:rsidR="00597419">
        <w:rPr>
          <w:sz w:val="24"/>
        </w:rPr>
        <w:t>,</w:t>
      </w:r>
      <w:r>
        <w:rPr>
          <w:sz w:val="24"/>
        </w:rPr>
        <w:t xml:space="preserve">” </w:t>
      </w:r>
      <w:r w:rsidR="008D3312">
        <w:rPr>
          <w:sz w:val="24"/>
        </w:rPr>
        <w:t>the new city-county consolidation system</w:t>
      </w:r>
      <w:r w:rsidR="00597419">
        <w:rPr>
          <w:sz w:val="24"/>
        </w:rPr>
        <w:t>,</w:t>
      </w:r>
      <w:r w:rsidR="008D3312">
        <w:rPr>
          <w:sz w:val="24"/>
        </w:rPr>
        <w:t xml:space="preserve"> </w:t>
      </w:r>
      <w:r w:rsidR="00597419">
        <w:rPr>
          <w:sz w:val="24"/>
        </w:rPr>
        <w:t>led</w:t>
      </w:r>
      <w:r>
        <w:rPr>
          <w:sz w:val="24"/>
        </w:rPr>
        <w:t xml:space="preserve"> the city, the city parks, and the Parthenon into its future management and preservation. This legacy and the cultural identities that the city now held were the responsibility of Metro and the newly formed Metropolitan Board of Parks and Recreation in 1963. Much to the pleasure of the newly formed Metro system, the parks could be more receptive to the sociopolitical movements in the communities and coordinate with other municipal aspects of the city. </w:t>
      </w:r>
      <w:r w:rsidR="005334AF">
        <w:rPr>
          <w:sz w:val="24"/>
        </w:rPr>
        <w:t>Concerning the former Park Board,</w:t>
      </w:r>
      <w:r>
        <w:rPr>
          <w:sz w:val="24"/>
        </w:rPr>
        <w:t xml:space="preserve"> Leland R. Johnson observes:</w:t>
      </w:r>
    </w:p>
    <w:p w:rsidR="007B57B0" w:rsidRPr="00FD6D0F" w:rsidRDefault="007B57B0" w:rsidP="007B57B0">
      <w:pPr>
        <w:spacing w:line="480" w:lineRule="auto"/>
        <w:ind w:left="1440"/>
        <w:contextualSpacing/>
        <w:rPr>
          <w:sz w:val="24"/>
        </w:rPr>
      </w:pPr>
      <w:r>
        <w:rPr>
          <w:sz w:val="24"/>
        </w:rPr>
        <w:t xml:space="preserve">From the first, Board membership </w:t>
      </w:r>
      <w:proofErr w:type="gramStart"/>
      <w:r>
        <w:rPr>
          <w:sz w:val="24"/>
        </w:rPr>
        <w:t>was balanced</w:t>
      </w:r>
      <w:proofErr w:type="gramEnd"/>
      <w:r>
        <w:rPr>
          <w:sz w:val="24"/>
        </w:rPr>
        <w:t xml:space="preserve"> to reflect the interests of the city’s religious denominations, but no woman, black, or other minority was ever elected to the Board. While it established in 1912 the first park in the South and perhaps the nation for black citizens and worked closely with black leaders to provide recreational facilities for the city’s black community, it was not noticeably responsive to the civil rights </w:t>
      </w:r>
      <w:r>
        <w:rPr>
          <w:sz w:val="24"/>
        </w:rPr>
        <w:lastRenderedPageBreak/>
        <w:t xml:space="preserve">campaign to end segregation. Even conservative columnist Dick Battle of the </w:t>
      </w:r>
      <w:r w:rsidRPr="00FD6D0F">
        <w:rPr>
          <w:i/>
          <w:sz w:val="24"/>
        </w:rPr>
        <w:t>Nashville Banner</w:t>
      </w:r>
      <w:r>
        <w:rPr>
          <w:sz w:val="24"/>
        </w:rPr>
        <w:t xml:space="preserve"> had concluded by 1957 that the autonomous Board </w:t>
      </w:r>
      <w:proofErr w:type="gramStart"/>
      <w:r>
        <w:rPr>
          <w:sz w:val="24"/>
        </w:rPr>
        <w:t>should be eliminated</w:t>
      </w:r>
      <w:proofErr w:type="gramEnd"/>
      <w:r>
        <w:rPr>
          <w:sz w:val="24"/>
        </w:rPr>
        <w:t>. Battle admitted the Board members were citizens of unimpeachable integrity, devoted not only to the park system but also to the progress of the city as a whole, but he declared that its political and financial independence inherently contradicted the “princ</w:t>
      </w:r>
      <w:r w:rsidR="00887878">
        <w:rPr>
          <w:sz w:val="24"/>
        </w:rPr>
        <w:t>iples of democratic government.”</w:t>
      </w:r>
      <w:r w:rsidR="00E37726">
        <w:rPr>
          <w:rStyle w:val="FootnoteReference"/>
          <w:sz w:val="24"/>
        </w:rPr>
        <w:footnoteReference w:id="137"/>
      </w:r>
    </w:p>
    <w:p w:rsidR="007B57B0" w:rsidRPr="002F5861" w:rsidRDefault="007B57B0" w:rsidP="007B57B0">
      <w:pPr>
        <w:spacing w:line="480" w:lineRule="auto"/>
        <w:contextualSpacing/>
        <w:rPr>
          <w:sz w:val="24"/>
        </w:rPr>
      </w:pPr>
      <w:r>
        <w:rPr>
          <w:sz w:val="24"/>
        </w:rPr>
        <w:tab/>
        <w:t xml:space="preserve">It is not dubious that the Parthenon and the cultural heritage and identity with Athens stood </w:t>
      </w:r>
      <w:r w:rsidR="001F43DA">
        <w:rPr>
          <w:sz w:val="24"/>
        </w:rPr>
        <w:t>on</w:t>
      </w:r>
      <w:r>
        <w:rPr>
          <w:sz w:val="24"/>
        </w:rPr>
        <w:t xml:space="preserve"> the grounds of democracy. The emphasis on the classical education in Nashville was a large factor </w:t>
      </w:r>
      <w:r w:rsidR="001F43DA">
        <w:rPr>
          <w:sz w:val="24"/>
        </w:rPr>
        <w:t>in</w:t>
      </w:r>
      <w:r>
        <w:rPr>
          <w:sz w:val="24"/>
        </w:rPr>
        <w:t xml:space="preserve"> inform</w:t>
      </w:r>
      <w:r w:rsidR="001F43DA">
        <w:rPr>
          <w:sz w:val="24"/>
        </w:rPr>
        <w:t>ing</w:t>
      </w:r>
      <w:r>
        <w:rPr>
          <w:sz w:val="24"/>
        </w:rPr>
        <w:t xml:space="preserve"> the elite, but the </w:t>
      </w:r>
      <w:proofErr w:type="gramStart"/>
      <w:r>
        <w:rPr>
          <w:sz w:val="24"/>
        </w:rPr>
        <w:t>image of the new stately orders of America in their democracy are</w:t>
      </w:r>
      <w:proofErr w:type="gramEnd"/>
      <w:r>
        <w:rPr>
          <w:sz w:val="24"/>
        </w:rPr>
        <w:t xml:space="preserve"> symbolized in the architecture across the country. When the choice came to select a Fine Arts Building at the Tennessee Centennial Exposition, the Parthenon </w:t>
      </w:r>
      <w:proofErr w:type="gramStart"/>
      <w:r>
        <w:rPr>
          <w:sz w:val="24"/>
        </w:rPr>
        <w:t>was not just chosen</w:t>
      </w:r>
      <w:proofErr w:type="gramEnd"/>
      <w:r>
        <w:rPr>
          <w:sz w:val="24"/>
        </w:rPr>
        <w:t xml:space="preserve"> for its classical artistry and liberal significance. Athena was a cultural icon for the ancient Athenians to gather around and follow in their cultivated, civilized ways. When Nashville needed a similar symbol in the late nineteenth and twentieth centuries, the Parthenon played a similar role in depicting the condition of government and civil affairs. When the Park Board and the parks, including Centennial Park and the Parthenon, became under the governance of Metro, and the city adopted a second cultural identity as Music City, the Parthenon moved from the elite aristocracy of Nashville to the democratic inclusion of all of its peoples. The civic goddess’s temple now stood in Nashville as a part of the cultural </w:t>
      </w:r>
      <w:r>
        <w:rPr>
          <w:sz w:val="24"/>
        </w:rPr>
        <w:lastRenderedPageBreak/>
        <w:t xml:space="preserve">fabric resembling the nature of democracy in the city, as a direct symbol of “Athens of the South.” A replicated sacred space within the confines of Centennial Park was once appreciated by a few select demographics of the city; now, </w:t>
      </w:r>
      <w:proofErr w:type="gramStart"/>
      <w:r>
        <w:rPr>
          <w:sz w:val="24"/>
        </w:rPr>
        <w:t>it could be appreciated by all citizens despite race, religion, or identification</w:t>
      </w:r>
      <w:proofErr w:type="gramEnd"/>
      <w:r>
        <w:rPr>
          <w:sz w:val="24"/>
        </w:rPr>
        <w:t>. The architecture that once conveyed prestigious messages of Nashville’s elitism then convey</w:t>
      </w:r>
      <w:r w:rsidR="00330D54">
        <w:rPr>
          <w:sz w:val="24"/>
        </w:rPr>
        <w:t>ed</w:t>
      </w:r>
      <w:r>
        <w:rPr>
          <w:sz w:val="24"/>
        </w:rPr>
        <w:t xml:space="preserve"> a welcome for all to sit on its steps and enjoy the sacred groves </w:t>
      </w:r>
      <w:r w:rsidRPr="002F5861">
        <w:rPr>
          <w:sz w:val="24"/>
        </w:rPr>
        <w:t>of Centennial Park.</w:t>
      </w:r>
    </w:p>
    <w:p w:rsidR="007B57B0" w:rsidRDefault="007B57B0" w:rsidP="007B57B0">
      <w:pPr>
        <w:spacing w:line="480" w:lineRule="auto"/>
        <w:contextualSpacing/>
        <w:rPr>
          <w:rFonts w:cs="Times New Roman"/>
          <w:sz w:val="24"/>
          <w:szCs w:val="24"/>
        </w:rPr>
      </w:pPr>
      <w:r w:rsidRPr="002F5861">
        <w:rPr>
          <w:sz w:val="24"/>
        </w:rPr>
        <w:tab/>
        <w:t xml:space="preserve">One </w:t>
      </w:r>
      <w:r w:rsidRPr="002F5861">
        <w:rPr>
          <w:sz w:val="24"/>
          <w:szCs w:val="24"/>
        </w:rPr>
        <w:t>way that Nashvillians enjoy</w:t>
      </w:r>
      <w:r w:rsidR="00330D54">
        <w:rPr>
          <w:sz w:val="24"/>
          <w:szCs w:val="24"/>
        </w:rPr>
        <w:t>ed</w:t>
      </w:r>
      <w:r w:rsidRPr="002F5861">
        <w:rPr>
          <w:sz w:val="24"/>
          <w:szCs w:val="24"/>
        </w:rPr>
        <w:t xml:space="preserve"> the Centennial Park and the Parthenon was at Christmastime. From </w:t>
      </w:r>
      <w:r w:rsidRPr="002F5861">
        <w:rPr>
          <w:rFonts w:cs="Times New Roman"/>
          <w:sz w:val="24"/>
          <w:szCs w:val="24"/>
        </w:rPr>
        <w:t>1954 to 1967</w:t>
      </w:r>
      <w:r w:rsidRPr="002F5861">
        <w:rPr>
          <w:sz w:val="24"/>
          <w:szCs w:val="24"/>
        </w:rPr>
        <w:t xml:space="preserve">, </w:t>
      </w:r>
      <w:r w:rsidRPr="002F5861">
        <w:rPr>
          <w:rFonts w:cs="Times New Roman"/>
          <w:sz w:val="24"/>
          <w:szCs w:val="24"/>
        </w:rPr>
        <w:t xml:space="preserve">the Christmas tradition of the </w:t>
      </w:r>
      <w:proofErr w:type="gramStart"/>
      <w:r w:rsidRPr="002F5861">
        <w:rPr>
          <w:rFonts w:cs="Times New Roman"/>
          <w:sz w:val="24"/>
          <w:szCs w:val="24"/>
        </w:rPr>
        <w:t>Harvey  Scene</w:t>
      </w:r>
      <w:proofErr w:type="gramEnd"/>
      <w:r w:rsidRPr="002F5861">
        <w:rPr>
          <w:rFonts w:cs="Times New Roman"/>
          <w:sz w:val="24"/>
          <w:szCs w:val="24"/>
        </w:rPr>
        <w:t>, owned by Harvey’s Department Store</w:t>
      </w:r>
      <w:r w:rsidR="00D96094">
        <w:rPr>
          <w:rFonts w:cs="Times New Roman"/>
          <w:sz w:val="24"/>
          <w:szCs w:val="24"/>
        </w:rPr>
        <w:t>,</w:t>
      </w:r>
      <w:r w:rsidRPr="002F5861">
        <w:rPr>
          <w:rFonts w:cs="Times New Roman"/>
          <w:sz w:val="24"/>
          <w:szCs w:val="24"/>
        </w:rPr>
        <w:t xml:space="preserve"> decorated the lawn next to the Parthenon</w:t>
      </w:r>
      <w:r w:rsidR="00DE4D3A">
        <w:rPr>
          <w:rFonts w:cs="Times New Roman"/>
          <w:sz w:val="24"/>
          <w:szCs w:val="24"/>
        </w:rPr>
        <w:t xml:space="preserve"> (See Figure 4-3)</w:t>
      </w:r>
      <w:r w:rsidRPr="002F5861">
        <w:rPr>
          <w:rFonts w:cs="Times New Roman"/>
          <w:sz w:val="24"/>
          <w:szCs w:val="24"/>
        </w:rPr>
        <w:t xml:space="preserve">. </w:t>
      </w:r>
      <w:r w:rsidR="000C1FF2">
        <w:rPr>
          <w:rFonts w:cs="Times New Roman"/>
          <w:sz w:val="24"/>
          <w:szCs w:val="24"/>
        </w:rPr>
        <w:t>2</w:t>
      </w:r>
      <w:r w:rsidRPr="002F5861">
        <w:rPr>
          <w:rFonts w:cs="Times New Roman"/>
          <w:sz w:val="24"/>
          <w:szCs w:val="24"/>
        </w:rPr>
        <w:t xml:space="preserve"> feet long by </w:t>
      </w:r>
      <w:r w:rsidR="000C1FF2">
        <w:rPr>
          <w:rFonts w:cs="Times New Roman"/>
          <w:sz w:val="24"/>
          <w:szCs w:val="24"/>
        </w:rPr>
        <w:t xml:space="preserve">75 </w:t>
      </w:r>
      <w:r w:rsidRPr="002F5861">
        <w:rPr>
          <w:rFonts w:cs="Times New Roman"/>
          <w:sz w:val="24"/>
          <w:szCs w:val="24"/>
        </w:rPr>
        <w:t>feet wide, glossed with multicolored lights, music, and narrative of the Christmas story, the Nativity Scene</w:t>
      </w:r>
      <w:r>
        <w:rPr>
          <w:rFonts w:cs="Times New Roman"/>
          <w:sz w:val="24"/>
          <w:szCs w:val="24"/>
        </w:rPr>
        <w:t xml:space="preserve"> was a centerpiece </w:t>
      </w:r>
      <w:r w:rsidR="00D96094">
        <w:rPr>
          <w:rFonts w:cs="Times New Roman"/>
          <w:sz w:val="24"/>
          <w:szCs w:val="24"/>
        </w:rPr>
        <w:t>in</w:t>
      </w:r>
      <w:r>
        <w:rPr>
          <w:rFonts w:cs="Times New Roman"/>
          <w:sz w:val="24"/>
          <w:szCs w:val="24"/>
        </w:rPr>
        <w:t xml:space="preserve"> the park for families to observe the religious values of the Nashville culture</w:t>
      </w:r>
      <w:r w:rsidRPr="002F5861">
        <w:rPr>
          <w:rFonts w:cs="Times New Roman"/>
          <w:sz w:val="24"/>
          <w:szCs w:val="24"/>
        </w:rPr>
        <w:t xml:space="preserve">. </w:t>
      </w:r>
      <w:r w:rsidR="000C1FF2">
        <w:rPr>
          <w:rFonts w:cs="Times New Roman"/>
          <w:sz w:val="24"/>
          <w:szCs w:val="24"/>
        </w:rPr>
        <w:t>45</w:t>
      </w:r>
      <w:r>
        <w:rPr>
          <w:rFonts w:cs="Times New Roman"/>
          <w:sz w:val="24"/>
          <w:szCs w:val="24"/>
        </w:rPr>
        <w:t xml:space="preserve"> human figures, </w:t>
      </w:r>
      <w:r w:rsidR="000C1FF2">
        <w:rPr>
          <w:rFonts w:cs="Times New Roman"/>
          <w:sz w:val="24"/>
          <w:szCs w:val="24"/>
        </w:rPr>
        <w:t xml:space="preserve">78 </w:t>
      </w:r>
      <w:r>
        <w:rPr>
          <w:rFonts w:cs="Times New Roman"/>
          <w:sz w:val="24"/>
          <w:szCs w:val="24"/>
        </w:rPr>
        <w:t xml:space="preserve">animals, and </w:t>
      </w:r>
      <w:r w:rsidR="000C1FF2">
        <w:rPr>
          <w:rFonts w:cs="Times New Roman"/>
          <w:sz w:val="24"/>
          <w:szCs w:val="24"/>
        </w:rPr>
        <w:t>10</w:t>
      </w:r>
      <w:r>
        <w:rPr>
          <w:rFonts w:cs="Times New Roman"/>
          <w:sz w:val="24"/>
          <w:szCs w:val="24"/>
        </w:rPr>
        <w:t xml:space="preserve"> angels sculpted by </w:t>
      </w:r>
      <w:proofErr w:type="spellStart"/>
      <w:r>
        <w:rPr>
          <w:rFonts w:cs="Times New Roman"/>
          <w:sz w:val="24"/>
          <w:szCs w:val="24"/>
        </w:rPr>
        <w:t>Rebbecini</w:t>
      </w:r>
      <w:proofErr w:type="spellEnd"/>
      <w:r>
        <w:rPr>
          <w:rFonts w:cs="Times New Roman"/>
          <w:sz w:val="24"/>
          <w:szCs w:val="24"/>
        </w:rPr>
        <w:t xml:space="preserve"> of Italy attracted an average of a million visitors every year.</w:t>
      </w:r>
      <w:r>
        <w:rPr>
          <w:rStyle w:val="FootnoteReference"/>
          <w:rFonts w:cs="Times New Roman"/>
          <w:sz w:val="24"/>
          <w:szCs w:val="24"/>
        </w:rPr>
        <w:footnoteReference w:id="138"/>
      </w:r>
      <w:r>
        <w:rPr>
          <w:rFonts w:cs="Times New Roman"/>
          <w:sz w:val="24"/>
          <w:szCs w:val="24"/>
        </w:rPr>
        <w:t xml:space="preserve"> At the time of Christmas, what sacred reservation the groves of the park had </w:t>
      </w:r>
      <w:proofErr w:type="gramStart"/>
      <w:r>
        <w:rPr>
          <w:rFonts w:cs="Times New Roman"/>
          <w:sz w:val="24"/>
          <w:szCs w:val="24"/>
        </w:rPr>
        <w:t>was enhanced</w:t>
      </w:r>
      <w:proofErr w:type="gramEnd"/>
      <w:r>
        <w:rPr>
          <w:rFonts w:cs="Times New Roman"/>
          <w:sz w:val="24"/>
          <w:szCs w:val="24"/>
        </w:rPr>
        <w:t xml:space="preserve"> by the depiction of the birth of Christ on the grounds. People </w:t>
      </w:r>
      <w:r w:rsidR="00D96094">
        <w:rPr>
          <w:rFonts w:cs="Times New Roman"/>
          <w:sz w:val="24"/>
          <w:szCs w:val="24"/>
        </w:rPr>
        <w:t>came</w:t>
      </w:r>
      <w:r>
        <w:rPr>
          <w:rFonts w:cs="Times New Roman"/>
          <w:sz w:val="24"/>
          <w:szCs w:val="24"/>
        </w:rPr>
        <w:t xml:space="preserve"> to pay respects to the origins of the Christmas tradition and celebrate the Christmas season with family and friends. </w:t>
      </w:r>
      <w:r w:rsidRPr="002F5861">
        <w:rPr>
          <w:rFonts w:cs="Times New Roman"/>
          <w:sz w:val="24"/>
          <w:szCs w:val="24"/>
        </w:rPr>
        <w:t>Local families have had life-long memories of visiting "the main attractio</w:t>
      </w:r>
      <w:r>
        <w:rPr>
          <w:rFonts w:cs="Times New Roman"/>
          <w:sz w:val="24"/>
          <w:szCs w:val="24"/>
        </w:rPr>
        <w:t>n in Nashville at Christmastime</w:t>
      </w:r>
      <w:r w:rsidRPr="002F5861">
        <w:rPr>
          <w:rFonts w:cs="Times New Roman"/>
          <w:sz w:val="24"/>
          <w:szCs w:val="24"/>
        </w:rPr>
        <w:t>.</w:t>
      </w:r>
      <w:r>
        <w:rPr>
          <w:rFonts w:cs="Times New Roman"/>
          <w:sz w:val="24"/>
          <w:szCs w:val="24"/>
        </w:rPr>
        <w:t>”</w:t>
      </w:r>
      <w:r>
        <w:rPr>
          <w:rStyle w:val="FootnoteReference"/>
          <w:rFonts w:cs="Times New Roman"/>
          <w:sz w:val="24"/>
          <w:szCs w:val="24"/>
        </w:rPr>
        <w:footnoteReference w:id="139"/>
      </w:r>
      <w:r w:rsidRPr="002F5861">
        <w:rPr>
          <w:rFonts w:cs="Times New Roman"/>
          <w:sz w:val="24"/>
          <w:szCs w:val="24"/>
        </w:rPr>
        <w:t xml:space="preserve"> However, in 1968, the Nativity </w:t>
      </w:r>
      <w:proofErr w:type="gramStart"/>
      <w:r w:rsidRPr="002F5861">
        <w:rPr>
          <w:rFonts w:cs="Times New Roman"/>
          <w:sz w:val="24"/>
          <w:szCs w:val="24"/>
        </w:rPr>
        <w:t>was damaged</w:t>
      </w:r>
      <w:proofErr w:type="gramEnd"/>
      <w:r w:rsidRPr="002F5861">
        <w:rPr>
          <w:rFonts w:cs="Times New Roman"/>
          <w:sz w:val="24"/>
          <w:szCs w:val="24"/>
        </w:rPr>
        <w:t xml:space="preserve"> beyond what the Harvey's Department Store could afford to repair, so the collection was bought by a Cincinnati shopping center. To the dismay of Nashvillians by </w:t>
      </w:r>
      <w:r w:rsidRPr="002F5861">
        <w:rPr>
          <w:rFonts w:cs="Times New Roman"/>
          <w:sz w:val="24"/>
          <w:szCs w:val="24"/>
        </w:rPr>
        <w:lastRenderedPageBreak/>
        <w:t xml:space="preserve">word through the </w:t>
      </w:r>
      <w:r w:rsidRPr="002F5861">
        <w:rPr>
          <w:rFonts w:cs="Times New Roman"/>
          <w:i/>
          <w:sz w:val="24"/>
          <w:szCs w:val="24"/>
        </w:rPr>
        <w:t>Nashville Banner</w:t>
      </w:r>
      <w:r w:rsidRPr="002F5861">
        <w:rPr>
          <w:rFonts w:cs="Times New Roman"/>
          <w:sz w:val="24"/>
          <w:szCs w:val="24"/>
        </w:rPr>
        <w:t>, the Cincinnati shopping center displayed the collection for two years before disposing of the set.</w:t>
      </w:r>
      <w:r>
        <w:rPr>
          <w:rFonts w:cs="Times New Roman"/>
          <w:sz w:val="24"/>
          <w:szCs w:val="24"/>
        </w:rPr>
        <w:t xml:space="preserve"> </w:t>
      </w:r>
    </w:p>
    <w:p w:rsidR="00830462" w:rsidRDefault="007B57B0" w:rsidP="00DE4D3A">
      <w:pPr>
        <w:keepNext/>
        <w:spacing w:line="480" w:lineRule="auto"/>
        <w:ind w:left="720"/>
        <w:contextualSpacing/>
      </w:pPr>
      <w:r>
        <w:rPr>
          <w:rFonts w:cs="Times New Roman"/>
          <w:noProof/>
          <w:sz w:val="24"/>
          <w:szCs w:val="24"/>
        </w:rPr>
        <w:drawing>
          <wp:inline distT="0" distB="0" distL="0" distR="0" wp14:anchorId="27DDF11C" wp14:editId="08777F3D">
            <wp:extent cx="5143500" cy="4878108"/>
            <wp:effectExtent l="0" t="0" r="0" b="0"/>
            <wp:docPr id="16" name="Picture 16" descr="C:\Users\Luke\Desktop\Thesis Pics\Parthenon Nativity 1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ke\Desktop\Thesis Pics\Parthenon Nativity 195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75518" cy="4908474"/>
                    </a:xfrm>
                    <a:prstGeom prst="rect">
                      <a:avLst/>
                    </a:prstGeom>
                    <a:noFill/>
                    <a:ln>
                      <a:noFill/>
                    </a:ln>
                    <a:effectLst>
                      <a:softEdge rad="63500"/>
                    </a:effectLst>
                  </pic:spPr>
                </pic:pic>
              </a:graphicData>
            </a:graphic>
          </wp:inline>
        </w:drawing>
      </w:r>
    </w:p>
    <w:p w:rsidR="00830462" w:rsidRPr="00983130" w:rsidRDefault="00830462" w:rsidP="00983130">
      <w:pPr>
        <w:pStyle w:val="Heading2"/>
      </w:pPr>
      <w:bookmarkStart w:id="78" w:name="_Toc468630845"/>
      <w:bookmarkStart w:id="79" w:name="_Toc468649010"/>
      <w:r w:rsidRPr="00983130">
        <w:t>Figure 4</w:t>
      </w:r>
      <w:r w:rsidR="008671D4" w:rsidRPr="00983130">
        <w:noBreakHyphen/>
      </w:r>
      <w:r w:rsidR="008671D4" w:rsidRPr="00983130">
        <w:fldChar w:fldCharType="begin"/>
      </w:r>
      <w:r w:rsidR="008671D4" w:rsidRPr="00983130">
        <w:instrText xml:space="preserve"> SEQ Figure \* ARABIC \s 1 </w:instrText>
      </w:r>
      <w:r w:rsidR="008671D4" w:rsidRPr="00983130">
        <w:fldChar w:fldCharType="separate"/>
      </w:r>
      <w:r w:rsidR="00FA56AB">
        <w:rPr>
          <w:noProof/>
        </w:rPr>
        <w:t>3</w:t>
      </w:r>
      <w:r w:rsidR="008671D4" w:rsidRPr="00983130">
        <w:fldChar w:fldCharType="end"/>
      </w:r>
      <w:r w:rsidR="00983130" w:rsidRPr="00983130">
        <w:t>:</w:t>
      </w:r>
      <w:r w:rsidRPr="00983130">
        <w:t xml:space="preserve"> Nativity Scene at Centennial Park, Nashville, Tennessee 1953</w:t>
      </w:r>
      <w:bookmarkEnd w:id="78"/>
      <w:bookmarkEnd w:id="79"/>
    </w:p>
    <w:p w:rsidR="005076CB" w:rsidRPr="000F7FE5" w:rsidRDefault="005076CB" w:rsidP="0069254A">
      <w:pPr>
        <w:jc w:val="center"/>
        <w:rPr>
          <w:color w:val="548DD4" w:themeColor="text2" w:themeTint="99"/>
          <w:sz w:val="24"/>
          <w:szCs w:val="24"/>
        </w:rPr>
      </w:pPr>
      <w:proofErr w:type="gramStart"/>
      <w:r w:rsidRPr="000F7FE5">
        <w:rPr>
          <w:color w:val="548DD4" w:themeColor="text2" w:themeTint="99"/>
          <w:sz w:val="24"/>
          <w:szCs w:val="24"/>
        </w:rPr>
        <w:t>Courtesy of Metro Archi</w:t>
      </w:r>
      <w:r w:rsidR="0069254A" w:rsidRPr="000F7FE5">
        <w:rPr>
          <w:color w:val="548DD4" w:themeColor="text2" w:themeTint="99"/>
          <w:sz w:val="24"/>
          <w:szCs w:val="24"/>
        </w:rPr>
        <w:t>ve</w:t>
      </w:r>
      <w:r w:rsidRPr="000F7FE5">
        <w:rPr>
          <w:color w:val="548DD4" w:themeColor="text2" w:themeTint="99"/>
          <w:sz w:val="24"/>
          <w:szCs w:val="24"/>
        </w:rPr>
        <w:t>.</w:t>
      </w:r>
      <w:proofErr w:type="gramEnd"/>
      <w:r w:rsidRPr="000F7FE5">
        <w:rPr>
          <w:color w:val="548DD4" w:themeColor="text2" w:themeTint="99"/>
          <w:sz w:val="24"/>
          <w:szCs w:val="24"/>
        </w:rPr>
        <w:t xml:space="preserve"> </w:t>
      </w:r>
      <w:proofErr w:type="gramStart"/>
      <w:r w:rsidR="003E4DC3" w:rsidRPr="000F7FE5">
        <w:rPr>
          <w:i/>
          <w:color w:val="548DD4" w:themeColor="text2" w:themeTint="99"/>
          <w:sz w:val="24"/>
          <w:szCs w:val="24"/>
        </w:rPr>
        <w:t>Nativity Scene at Centennial Park, Nashville, Tennessee 1953</w:t>
      </w:r>
      <w:r w:rsidR="003E4DC3" w:rsidRPr="000F7FE5">
        <w:rPr>
          <w:color w:val="548DD4" w:themeColor="text2" w:themeTint="99"/>
          <w:sz w:val="24"/>
          <w:szCs w:val="24"/>
        </w:rPr>
        <w:t xml:space="preserve"> (Nashville, </w:t>
      </w:r>
      <w:r w:rsidR="0069254A" w:rsidRPr="000F7FE5">
        <w:rPr>
          <w:color w:val="548DD4" w:themeColor="text2" w:themeTint="99"/>
          <w:sz w:val="24"/>
          <w:szCs w:val="24"/>
        </w:rPr>
        <w:t>1953), Photograph.</w:t>
      </w:r>
      <w:proofErr w:type="gramEnd"/>
      <w:r w:rsidR="0069254A" w:rsidRPr="000F7FE5">
        <w:rPr>
          <w:color w:val="548DD4" w:themeColor="text2" w:themeTint="99"/>
          <w:sz w:val="24"/>
          <w:szCs w:val="24"/>
        </w:rPr>
        <w:t xml:space="preserve"> </w:t>
      </w:r>
      <w:proofErr w:type="gramStart"/>
      <w:r w:rsidR="0069254A" w:rsidRPr="000F7FE5">
        <w:rPr>
          <w:color w:val="548DD4" w:themeColor="text2" w:themeTint="99"/>
          <w:sz w:val="24"/>
          <w:szCs w:val="24"/>
        </w:rPr>
        <w:t xml:space="preserve">From the Metro Archive, </w:t>
      </w:r>
      <w:hyperlink r:id="rId40" w:history="1">
        <w:r w:rsidR="0069254A" w:rsidRPr="000F7FE5">
          <w:rPr>
            <w:rStyle w:val="Hyperlink"/>
            <w:color w:val="548DD4" w:themeColor="text2" w:themeTint="99"/>
            <w:sz w:val="24"/>
            <w:szCs w:val="24"/>
          </w:rPr>
          <w:t>http://digital.library.nashville.org/cdm/singleitem/collection/nr/id/6225/rec/86</w:t>
        </w:r>
      </w:hyperlink>
      <w:r w:rsidR="0069254A" w:rsidRPr="000F7FE5">
        <w:rPr>
          <w:color w:val="548DD4" w:themeColor="text2" w:themeTint="99"/>
          <w:sz w:val="24"/>
          <w:szCs w:val="24"/>
        </w:rPr>
        <w:t>.</w:t>
      </w:r>
      <w:proofErr w:type="gramEnd"/>
    </w:p>
    <w:p w:rsidR="007B57B0" w:rsidRPr="002F5861" w:rsidRDefault="007B57B0" w:rsidP="000F7FE5">
      <w:pPr>
        <w:spacing w:line="480" w:lineRule="auto"/>
        <w:contextualSpacing/>
        <w:rPr>
          <w:sz w:val="24"/>
        </w:rPr>
      </w:pPr>
    </w:p>
    <w:p w:rsidR="007B57B0" w:rsidRPr="00BD3EFC" w:rsidRDefault="007B57B0" w:rsidP="007B57B0">
      <w:pPr>
        <w:spacing w:line="480" w:lineRule="auto"/>
        <w:contextualSpacing/>
        <w:rPr>
          <w:sz w:val="24"/>
        </w:rPr>
      </w:pPr>
      <w:r>
        <w:rPr>
          <w:sz w:val="24"/>
        </w:rPr>
        <w:tab/>
        <w:t xml:space="preserve">However, Lady Liberty herself was still missing from the center of the Parthenon – the meaning and centerpiece of the temple from the start. </w:t>
      </w:r>
      <w:r w:rsidRPr="00BD3EFC">
        <w:rPr>
          <w:sz w:val="24"/>
        </w:rPr>
        <w:t>After the Nashvill</w:t>
      </w:r>
      <w:r>
        <w:rPr>
          <w:sz w:val="24"/>
        </w:rPr>
        <w:t xml:space="preserve">ian </w:t>
      </w:r>
      <w:proofErr w:type="gramStart"/>
      <w:r>
        <w:rPr>
          <w:sz w:val="24"/>
        </w:rPr>
        <w:t>Parthenon’s</w:t>
      </w:r>
      <w:proofErr w:type="gramEnd"/>
      <w:r>
        <w:rPr>
          <w:sz w:val="24"/>
        </w:rPr>
        <w:t xml:space="preserve"> opening in </w:t>
      </w:r>
      <w:r w:rsidRPr="00BD3EFC">
        <w:rPr>
          <w:sz w:val="24"/>
        </w:rPr>
        <w:t xml:space="preserve">1931, Belle Kinney and Leopold Scholz returned and approached </w:t>
      </w:r>
      <w:r w:rsidRPr="00BD3EFC">
        <w:rPr>
          <w:sz w:val="24"/>
        </w:rPr>
        <w:lastRenderedPageBreak/>
        <w:t>the Board of Park Commissioners with plans to complete the structure with the missing Ionic Frieze and sculpture of Athena. The finances were not available, though the miniature four-foot sculpture they presented lived in the Parthenon thereafter. Thirty years later, “Sometime in the late 1960s a donation box appeared next to Belle Kinney’s model in the middle of the Parthenon. School children, visitors, and Nashvillians put their nickels, dimes, and dollar bills in that box over the next twelve years.</w:t>
      </w:r>
      <w:r>
        <w:rPr>
          <w:sz w:val="24"/>
        </w:rPr>
        <w:t>”</w:t>
      </w:r>
      <w:r>
        <w:rPr>
          <w:rStyle w:val="FootnoteReference"/>
          <w:sz w:val="24"/>
        </w:rPr>
        <w:footnoteReference w:id="140"/>
      </w:r>
      <w:r w:rsidRPr="00BD3EFC">
        <w:rPr>
          <w:sz w:val="24"/>
        </w:rPr>
        <w:t xml:space="preserve"> </w:t>
      </w:r>
      <w:r w:rsidR="002A4EB8">
        <w:rPr>
          <w:sz w:val="24"/>
        </w:rPr>
        <w:t>$30,000</w:t>
      </w:r>
      <w:r>
        <w:rPr>
          <w:sz w:val="24"/>
        </w:rPr>
        <w:t xml:space="preserve"> </w:t>
      </w:r>
      <w:proofErr w:type="gramStart"/>
      <w:r w:rsidR="003D1F73">
        <w:rPr>
          <w:sz w:val="24"/>
        </w:rPr>
        <w:t>was</w:t>
      </w:r>
      <w:r>
        <w:rPr>
          <w:sz w:val="24"/>
        </w:rPr>
        <w:t xml:space="preserve"> raised</w:t>
      </w:r>
      <w:proofErr w:type="gramEnd"/>
      <w:r>
        <w:rPr>
          <w:sz w:val="24"/>
        </w:rPr>
        <w:t xml:space="preserve"> by </w:t>
      </w:r>
      <w:r w:rsidRPr="00BD3EFC">
        <w:rPr>
          <w:sz w:val="24"/>
        </w:rPr>
        <w:t xml:space="preserve">1982, enough to begin the program. After emerging victorious in the sculpting competition for the position in the program, </w:t>
      </w:r>
      <w:r w:rsidR="003D1F73">
        <w:rPr>
          <w:sz w:val="24"/>
        </w:rPr>
        <w:t>26 year-</w:t>
      </w:r>
      <w:r w:rsidRPr="00BD3EFC">
        <w:rPr>
          <w:sz w:val="24"/>
        </w:rPr>
        <w:t>old Alan LeQuire began researching. He speculated a period of eighteen months for the project; however, it took over seven years.</w:t>
      </w:r>
      <w:r>
        <w:rPr>
          <w:rStyle w:val="FootnoteReference"/>
          <w:sz w:val="24"/>
        </w:rPr>
        <w:footnoteReference w:id="141"/>
      </w:r>
      <w:r w:rsidRPr="00BD3EFC">
        <w:rPr>
          <w:sz w:val="24"/>
        </w:rPr>
        <w:t xml:space="preserve"> Unveiling the sculpture in May 1990, </w:t>
      </w:r>
      <w:r w:rsidRPr="0012287E">
        <w:rPr>
          <w:i/>
          <w:sz w:val="24"/>
        </w:rPr>
        <w:t>Athena</w:t>
      </w:r>
      <w:r w:rsidRPr="00BD3EFC">
        <w:rPr>
          <w:sz w:val="24"/>
        </w:rPr>
        <w:t xml:space="preserve"> was complete with the pedestal, the statue of </w:t>
      </w:r>
      <w:r w:rsidRPr="009E6E94">
        <w:rPr>
          <w:i/>
          <w:sz w:val="24"/>
        </w:rPr>
        <w:t>Nike</w:t>
      </w:r>
      <w:r w:rsidRPr="00BD3EFC">
        <w:rPr>
          <w:sz w:val="24"/>
        </w:rPr>
        <w:t xml:space="preserve">, the spear, the shield, and the serpent. </w:t>
      </w:r>
      <w:r w:rsidRPr="0012287E">
        <w:rPr>
          <w:i/>
          <w:sz w:val="24"/>
        </w:rPr>
        <w:t>Athena</w:t>
      </w:r>
      <w:r w:rsidRPr="00BD3EFC">
        <w:rPr>
          <w:sz w:val="24"/>
        </w:rPr>
        <w:t xml:space="preserve"> </w:t>
      </w:r>
      <w:proofErr w:type="gramStart"/>
      <w:r>
        <w:rPr>
          <w:sz w:val="24"/>
        </w:rPr>
        <w:t>was</w:t>
      </w:r>
      <w:r w:rsidRPr="00BD3EFC">
        <w:rPr>
          <w:sz w:val="24"/>
        </w:rPr>
        <w:t xml:space="preserve"> later glided</w:t>
      </w:r>
      <w:proofErr w:type="gramEnd"/>
      <w:r w:rsidRPr="00BD3EFC">
        <w:rPr>
          <w:sz w:val="24"/>
        </w:rPr>
        <w:t xml:space="preserve"> with </w:t>
      </w:r>
      <w:r w:rsidR="001C6A44">
        <w:rPr>
          <w:sz w:val="24"/>
        </w:rPr>
        <w:t>23:75</w:t>
      </w:r>
      <w:r w:rsidRPr="00BD3EFC">
        <w:rPr>
          <w:sz w:val="24"/>
        </w:rPr>
        <w:t xml:space="preserve"> karat gold in 2002 with LeQuire and Master Guilder Lou Reed.</w:t>
      </w:r>
      <w:r>
        <w:rPr>
          <w:rStyle w:val="FootnoteReference"/>
          <w:sz w:val="24"/>
        </w:rPr>
        <w:footnoteReference w:id="142"/>
      </w:r>
      <w:r w:rsidRPr="00BD3EFC">
        <w:rPr>
          <w:sz w:val="24"/>
        </w:rPr>
        <w:t xml:space="preserve"> Also during this time, the skin </w:t>
      </w:r>
      <w:proofErr w:type="gramStart"/>
      <w:r w:rsidRPr="00BD3EFC">
        <w:rPr>
          <w:sz w:val="24"/>
        </w:rPr>
        <w:t>was painted</w:t>
      </w:r>
      <w:proofErr w:type="gramEnd"/>
      <w:r w:rsidRPr="00BD3EFC">
        <w:rPr>
          <w:sz w:val="24"/>
        </w:rPr>
        <w:t xml:space="preserve"> to resemble ivory and the inside of her shield to depict the battle of the gods and giants. </w:t>
      </w:r>
    </w:p>
    <w:p w:rsidR="007B57B0" w:rsidRPr="00BD3EFC" w:rsidRDefault="007B57B0" w:rsidP="007B57B0">
      <w:pPr>
        <w:spacing w:line="480" w:lineRule="auto"/>
        <w:contextualSpacing/>
        <w:rPr>
          <w:sz w:val="24"/>
        </w:rPr>
      </w:pPr>
      <w:r w:rsidRPr="00BD3EFC">
        <w:rPr>
          <w:sz w:val="24"/>
        </w:rPr>
        <w:tab/>
        <w:t xml:space="preserve">Interpreting his research to the best of his ability, Alan LeQuire received much guidance to create the most accurate replica of a statue that had not existed in over seventeen hundred years. Coming to conclusions such as the leg-weight shift position, similar to the contrapposto position, and analyzing the different effects of weight shift, he further discovered that a simple wooden beam placed through </w:t>
      </w:r>
      <w:r w:rsidRPr="0012287E">
        <w:rPr>
          <w:i/>
          <w:sz w:val="24"/>
        </w:rPr>
        <w:t>Athena</w:t>
      </w:r>
      <w:r w:rsidRPr="0012287E">
        <w:rPr>
          <w:sz w:val="24"/>
        </w:rPr>
        <w:t>’s</w:t>
      </w:r>
      <w:r w:rsidRPr="00BD3EFC">
        <w:rPr>
          <w:sz w:val="24"/>
        </w:rPr>
        <w:t xml:space="preserve"> arm could </w:t>
      </w:r>
      <w:r w:rsidRPr="00BD3EFC">
        <w:rPr>
          <w:sz w:val="24"/>
        </w:rPr>
        <w:lastRenderedPageBreak/>
        <w:t xml:space="preserve">easily bear the weight of the six-foot </w:t>
      </w:r>
      <w:r w:rsidRPr="009E6E94">
        <w:rPr>
          <w:i/>
          <w:sz w:val="24"/>
        </w:rPr>
        <w:t>Nike</w:t>
      </w:r>
      <w:r w:rsidRPr="00BD3EFC">
        <w:rPr>
          <w:sz w:val="24"/>
        </w:rPr>
        <w:t xml:space="preserve">. </w:t>
      </w:r>
      <w:proofErr w:type="gramStart"/>
      <w:r w:rsidRPr="00BD3EFC">
        <w:rPr>
          <w:sz w:val="24"/>
        </w:rPr>
        <w:t xml:space="preserve">Following Dinsmoor’s measurements and speculations, LeQuire’s </w:t>
      </w:r>
      <w:r w:rsidRPr="0012287E">
        <w:rPr>
          <w:i/>
          <w:sz w:val="24"/>
        </w:rPr>
        <w:t>Athena</w:t>
      </w:r>
      <w:r w:rsidRPr="00BD3EFC">
        <w:rPr>
          <w:sz w:val="24"/>
        </w:rPr>
        <w:t xml:space="preserve"> measures </w:t>
      </w:r>
      <w:r w:rsidR="001C6A44">
        <w:rPr>
          <w:sz w:val="24"/>
        </w:rPr>
        <w:t>41</w:t>
      </w:r>
      <w:r w:rsidRPr="00BD3EFC">
        <w:rPr>
          <w:sz w:val="24"/>
        </w:rPr>
        <w:t xml:space="preserve"> feet and </w:t>
      </w:r>
      <w:r w:rsidR="001C6A44">
        <w:rPr>
          <w:sz w:val="24"/>
        </w:rPr>
        <w:t>10</w:t>
      </w:r>
      <w:r w:rsidRPr="00BD3EFC">
        <w:rPr>
          <w:sz w:val="24"/>
        </w:rPr>
        <w:t xml:space="preserve"> inches tall.</w:t>
      </w:r>
      <w:proofErr w:type="gramEnd"/>
      <w:r w:rsidRPr="00BD3EFC">
        <w:rPr>
          <w:sz w:val="24"/>
        </w:rPr>
        <w:t xml:space="preserve"> After completing drafts of his </w:t>
      </w:r>
      <w:r w:rsidRPr="00A2551B">
        <w:rPr>
          <w:i/>
          <w:sz w:val="24"/>
        </w:rPr>
        <w:t>Athena</w:t>
      </w:r>
      <w:r w:rsidRPr="00BD3EFC">
        <w:rPr>
          <w:sz w:val="24"/>
        </w:rPr>
        <w:t xml:space="preserve">, he also had to plan a </w:t>
      </w:r>
      <w:r w:rsidR="001C6A44">
        <w:rPr>
          <w:sz w:val="24"/>
        </w:rPr>
        <w:t>15-foot</w:t>
      </w:r>
      <w:r w:rsidRPr="00BD3EFC">
        <w:rPr>
          <w:sz w:val="24"/>
        </w:rPr>
        <w:t xml:space="preserve"> shield with </w:t>
      </w:r>
      <w:r w:rsidR="001C6A44">
        <w:rPr>
          <w:sz w:val="24"/>
        </w:rPr>
        <w:t>31</w:t>
      </w:r>
      <w:r w:rsidRPr="00BD3EFC">
        <w:rPr>
          <w:sz w:val="24"/>
        </w:rPr>
        <w:t xml:space="preserve"> figures in the Amazon relief, </w:t>
      </w:r>
      <w:r w:rsidR="001C6A44">
        <w:rPr>
          <w:sz w:val="24"/>
        </w:rPr>
        <w:t>21</w:t>
      </w:r>
      <w:r w:rsidRPr="00BD3EFC">
        <w:rPr>
          <w:sz w:val="24"/>
        </w:rPr>
        <w:t xml:space="preserve"> figures on the pedestal for the birth of Pan</w:t>
      </w:r>
      <w:r>
        <w:rPr>
          <w:sz w:val="24"/>
        </w:rPr>
        <w:t xml:space="preserve">dora, and a </w:t>
      </w:r>
      <w:r w:rsidR="001C6A44">
        <w:rPr>
          <w:sz w:val="24"/>
        </w:rPr>
        <w:t>30-foot</w:t>
      </w:r>
      <w:r>
        <w:rPr>
          <w:sz w:val="24"/>
        </w:rPr>
        <w:t xml:space="preserve"> serpent.</w:t>
      </w:r>
      <w:r>
        <w:rPr>
          <w:rStyle w:val="FootnoteReference"/>
          <w:sz w:val="24"/>
        </w:rPr>
        <w:footnoteReference w:id="143"/>
      </w:r>
    </w:p>
    <w:p w:rsidR="007B57B0" w:rsidRPr="00BD3EFC" w:rsidRDefault="007B57B0" w:rsidP="007B57B0">
      <w:pPr>
        <w:spacing w:line="480" w:lineRule="auto"/>
        <w:ind w:firstLine="720"/>
        <w:contextualSpacing/>
        <w:rPr>
          <w:sz w:val="24"/>
        </w:rPr>
      </w:pPr>
      <w:r w:rsidRPr="00BD3EFC">
        <w:rPr>
          <w:sz w:val="24"/>
        </w:rPr>
        <w:t xml:space="preserve">Taking some liberty in his design, LeQuire inherited the spirit of Pheidias by creating perspective distortions and culminating themes introduced in the architecture. First, LeQuire created larger proportions such as her slightly larger head while her upper body decreases in proportion as her figure nears the base, so that her arms would almost touch her knees if placed at her side. These visual alterations, when viewed from below, make </w:t>
      </w:r>
      <w:r w:rsidRPr="0012287E">
        <w:rPr>
          <w:i/>
          <w:sz w:val="24"/>
        </w:rPr>
        <w:t>Athena</w:t>
      </w:r>
      <w:r w:rsidR="008533B7">
        <w:rPr>
          <w:sz w:val="24"/>
        </w:rPr>
        <w:t xml:space="preserve"> look equal in pro</w:t>
      </w:r>
      <w:r w:rsidRPr="00BD3EFC">
        <w:rPr>
          <w:sz w:val="24"/>
        </w:rPr>
        <w:t xml:space="preserve">portion as she rises to the ceiling of the </w:t>
      </w:r>
      <w:r w:rsidRPr="00A2551B">
        <w:rPr>
          <w:i/>
          <w:sz w:val="24"/>
        </w:rPr>
        <w:t>hekatompedes naos</w:t>
      </w:r>
      <w:r w:rsidRPr="00BD3EFC">
        <w:rPr>
          <w:sz w:val="24"/>
        </w:rPr>
        <w:t>. Noting the design of the architrave between the two-tiered columns and its effect on t</w:t>
      </w:r>
      <w:r w:rsidR="008533B7">
        <w:rPr>
          <w:sz w:val="24"/>
        </w:rPr>
        <w:t xml:space="preserve">he mind’s eye, he also placed </w:t>
      </w:r>
      <w:r w:rsidRPr="0012287E">
        <w:rPr>
          <w:i/>
          <w:sz w:val="24"/>
        </w:rPr>
        <w:t>Athena</w:t>
      </w:r>
      <w:r w:rsidRPr="00BD3EFC">
        <w:rPr>
          <w:sz w:val="24"/>
        </w:rPr>
        <w:t xml:space="preserve">’s right hand holding </w:t>
      </w:r>
      <w:r w:rsidRPr="009E6E94">
        <w:rPr>
          <w:i/>
          <w:sz w:val="24"/>
        </w:rPr>
        <w:t>Nike</w:t>
      </w:r>
      <w:r w:rsidRPr="00BD3EFC">
        <w:rPr>
          <w:sz w:val="24"/>
        </w:rPr>
        <w:t xml:space="preserve"> at the same level intensifying that focus on </w:t>
      </w:r>
      <w:r w:rsidRPr="0012287E">
        <w:rPr>
          <w:i/>
          <w:sz w:val="24"/>
        </w:rPr>
        <w:t>Athena</w:t>
      </w:r>
      <w:r w:rsidRPr="00BD3EFC">
        <w:rPr>
          <w:sz w:val="24"/>
        </w:rPr>
        <w:t xml:space="preserve"> and the crowning of her victory. Second, LeQuire </w:t>
      </w:r>
      <w:r>
        <w:rPr>
          <w:sz w:val="24"/>
        </w:rPr>
        <w:t>features</w:t>
      </w:r>
      <w:r w:rsidRPr="00BD3EFC">
        <w:rPr>
          <w:sz w:val="24"/>
        </w:rPr>
        <w:t xml:space="preserve"> the civilization conquering barbarianism theme and the “Great Goddess” theme in his reliefs and embellishments on </w:t>
      </w:r>
      <w:r w:rsidRPr="00C44CAF">
        <w:rPr>
          <w:i/>
          <w:sz w:val="24"/>
        </w:rPr>
        <w:t>Athena</w:t>
      </w:r>
      <w:r w:rsidRPr="00BD3EFC">
        <w:rPr>
          <w:sz w:val="24"/>
        </w:rPr>
        <w:t xml:space="preserve">. On the exterior of </w:t>
      </w:r>
      <w:r w:rsidRPr="00C44CAF">
        <w:rPr>
          <w:i/>
          <w:sz w:val="24"/>
        </w:rPr>
        <w:t>Athena</w:t>
      </w:r>
      <w:r w:rsidRPr="00BD3EFC">
        <w:rPr>
          <w:sz w:val="24"/>
        </w:rPr>
        <w:t xml:space="preserve">’s shield, LeQuire depicts the famous battle between the Greeks and Amazons, including Pheidias and Perikles. On the interior of her shield, he recreated the battle between the gods and the giants. Lastly, on her sandals, he depicts the battle between the Lapiths and the Centaurs. All three recreate the metopes, excluding the Greeks battle with the Trojans, and establish the </w:t>
      </w:r>
      <w:r>
        <w:rPr>
          <w:sz w:val="24"/>
        </w:rPr>
        <w:t>polarity</w:t>
      </w:r>
      <w:r w:rsidRPr="00BD3EFC">
        <w:rPr>
          <w:sz w:val="24"/>
        </w:rPr>
        <w:t xml:space="preserve"> theme of civilization triumphing </w:t>
      </w:r>
      <w:r w:rsidRPr="00BD3EFC">
        <w:rPr>
          <w:sz w:val="24"/>
        </w:rPr>
        <w:lastRenderedPageBreak/>
        <w:t xml:space="preserve">barbarianism with </w:t>
      </w:r>
      <w:r>
        <w:rPr>
          <w:sz w:val="24"/>
        </w:rPr>
        <w:t xml:space="preserve">the aid of </w:t>
      </w:r>
      <w:r w:rsidRPr="00BD3EFC">
        <w:rPr>
          <w:sz w:val="24"/>
        </w:rPr>
        <w:t xml:space="preserve">Athena. Furthermore, as </w:t>
      </w:r>
      <w:r w:rsidRPr="00F64E3F">
        <w:rPr>
          <w:i/>
          <w:sz w:val="24"/>
        </w:rPr>
        <w:t>Athena</w:t>
      </w:r>
      <w:r w:rsidRPr="00BD3EFC">
        <w:rPr>
          <w:sz w:val="24"/>
        </w:rPr>
        <w:t xml:space="preserve">’s belt and adornment on her breastplate and wrists, LeQuire sculpts serpents. As the symbol of the “Great Goddess” figure, the serpents parallel those from the bronze door handles and Erichthonius by her side. Lastly, officially modeling himself after Pheidias despite his trial and persecution, LeQuire created Pandora’s birth scene with himself in the relief with friends, family, and others involved in recreating Athena. </w:t>
      </w:r>
      <w:proofErr w:type="gramStart"/>
      <w:r w:rsidRPr="00BD3EFC">
        <w:rPr>
          <w:sz w:val="24"/>
        </w:rPr>
        <w:t>Adding a unique American touch, LeQuire also trans-formed a McDonald’s flagpole into the mighty spear of the goddess, another symbol of her American rebirth.</w:t>
      </w:r>
      <w:proofErr w:type="gramEnd"/>
      <w:r>
        <w:rPr>
          <w:sz w:val="24"/>
        </w:rPr>
        <w:t xml:space="preserve"> Noting the fuse of the American cultural identity with the goddess of ancient Athens </w:t>
      </w:r>
      <w:r w:rsidR="005C78B4">
        <w:rPr>
          <w:sz w:val="24"/>
        </w:rPr>
        <w:t>indicates</w:t>
      </w:r>
      <w:r>
        <w:rPr>
          <w:sz w:val="24"/>
        </w:rPr>
        <w:t xml:space="preserve"> that LeQuire worked in the spirit behind the original </w:t>
      </w:r>
      <w:proofErr w:type="spellStart"/>
      <w:r>
        <w:rPr>
          <w:sz w:val="24"/>
        </w:rPr>
        <w:t>readaption</w:t>
      </w:r>
      <w:proofErr w:type="spellEnd"/>
      <w:r>
        <w:rPr>
          <w:sz w:val="24"/>
        </w:rPr>
        <w:t xml:space="preserve"> of the Parthenon – fusing the classical identity with the culture of Nashville. The commercial implications behind the use of the McDonald’s flagpole readily represent the modern Nashville culture, which </w:t>
      </w:r>
      <w:proofErr w:type="gramStart"/>
      <w:r>
        <w:rPr>
          <w:sz w:val="24"/>
        </w:rPr>
        <w:t>is itself fused</w:t>
      </w:r>
      <w:proofErr w:type="gramEnd"/>
      <w:r>
        <w:rPr>
          <w:sz w:val="24"/>
        </w:rPr>
        <w:t xml:space="preserve"> with the older Nashville cultures that have morphed and shifted through time. </w:t>
      </w:r>
    </w:p>
    <w:p w:rsidR="007B57B0" w:rsidRDefault="007B57B0" w:rsidP="007B57B0">
      <w:pPr>
        <w:spacing w:line="480" w:lineRule="auto"/>
        <w:ind w:firstLine="720"/>
        <w:contextualSpacing/>
        <w:rPr>
          <w:sz w:val="24"/>
        </w:rPr>
      </w:pPr>
      <w:r w:rsidRPr="00BD3EFC">
        <w:rPr>
          <w:sz w:val="24"/>
        </w:rPr>
        <w:t xml:space="preserve">Though he does not consider his educated interpretation to be faultless, he feels as though his style might bear some resemblance to Pheidias. He also considers </w:t>
      </w:r>
      <w:r w:rsidRPr="00EB250F">
        <w:rPr>
          <w:i/>
          <w:sz w:val="24"/>
        </w:rPr>
        <w:t>Athena</w:t>
      </w:r>
      <w:r w:rsidRPr="00BD3EFC">
        <w:rPr>
          <w:sz w:val="24"/>
        </w:rPr>
        <w:t xml:space="preserve"> to be a “Lady Liberty, a living </w:t>
      </w:r>
      <w:r>
        <w:rPr>
          <w:sz w:val="24"/>
        </w:rPr>
        <w:t>symbol of justice and democracy</w:t>
      </w:r>
      <w:r w:rsidRPr="00BD3EFC">
        <w:rPr>
          <w:sz w:val="24"/>
        </w:rPr>
        <w:t>.</w:t>
      </w:r>
      <w:r>
        <w:rPr>
          <w:sz w:val="24"/>
        </w:rPr>
        <w:t>”</w:t>
      </w:r>
      <w:r>
        <w:rPr>
          <w:rStyle w:val="FootnoteReference"/>
          <w:sz w:val="24"/>
        </w:rPr>
        <w:footnoteReference w:id="144"/>
      </w:r>
      <w:r w:rsidRPr="00BD3EFC">
        <w:rPr>
          <w:sz w:val="24"/>
        </w:rPr>
        <w:t xml:space="preserve"> Comparing </w:t>
      </w:r>
      <w:r w:rsidRPr="00EB250F">
        <w:rPr>
          <w:i/>
          <w:sz w:val="24"/>
        </w:rPr>
        <w:t>Athena</w:t>
      </w:r>
      <w:r w:rsidRPr="00BD3EFC">
        <w:rPr>
          <w:sz w:val="24"/>
        </w:rPr>
        <w:t xml:space="preserve"> to the Parthenon like a kernel to a shell, he feels as though he has give</w:t>
      </w:r>
      <w:r>
        <w:rPr>
          <w:sz w:val="24"/>
        </w:rPr>
        <w:t>n meaning and spirit to the mon</w:t>
      </w:r>
      <w:r w:rsidRPr="00BD3EFC">
        <w:rPr>
          <w:sz w:val="24"/>
        </w:rPr>
        <w:t>ument.</w:t>
      </w:r>
      <w:r>
        <w:rPr>
          <w:rStyle w:val="FootnoteReference"/>
          <w:sz w:val="24"/>
        </w:rPr>
        <w:footnoteReference w:id="145"/>
      </w:r>
      <w:r w:rsidRPr="00BD3EFC">
        <w:rPr>
          <w:sz w:val="24"/>
        </w:rPr>
        <w:t xml:space="preserve"> Transformed from a focus of worship, </w:t>
      </w:r>
      <w:r w:rsidRPr="00EB250F">
        <w:rPr>
          <w:i/>
          <w:sz w:val="24"/>
        </w:rPr>
        <w:t>Athena</w:t>
      </w:r>
      <w:r>
        <w:rPr>
          <w:sz w:val="24"/>
        </w:rPr>
        <w:t>’s rebirth in Nashville repre</w:t>
      </w:r>
      <w:r w:rsidRPr="00BD3EFC">
        <w:rPr>
          <w:sz w:val="24"/>
        </w:rPr>
        <w:t xml:space="preserve">sents the continuation of </w:t>
      </w:r>
      <w:r>
        <w:rPr>
          <w:sz w:val="24"/>
        </w:rPr>
        <w:t xml:space="preserve">the identity of the “Athens of the South” in modern Nashville and its ever-changing values. </w:t>
      </w:r>
      <w:proofErr w:type="gramStart"/>
      <w:r>
        <w:rPr>
          <w:sz w:val="24"/>
        </w:rPr>
        <w:t>Though</w:t>
      </w:r>
      <w:proofErr w:type="gramEnd"/>
      <w:r>
        <w:rPr>
          <w:sz w:val="24"/>
        </w:rPr>
        <w:t xml:space="preserve"> the identity of “Athens of the South” is not currently prominent amongst many Nashville citizens or visitors, its physical </w:t>
      </w:r>
      <w:r>
        <w:rPr>
          <w:sz w:val="24"/>
        </w:rPr>
        <w:lastRenderedPageBreak/>
        <w:t xml:space="preserve">manifestation of the Nashville Parthenon and its </w:t>
      </w:r>
      <w:r w:rsidRPr="002A126E">
        <w:rPr>
          <w:i/>
          <w:sz w:val="24"/>
        </w:rPr>
        <w:t>Athena</w:t>
      </w:r>
      <w:r w:rsidR="005C78B4">
        <w:rPr>
          <w:sz w:val="24"/>
        </w:rPr>
        <w:t xml:space="preserve"> are </w:t>
      </w:r>
      <w:r>
        <w:rPr>
          <w:sz w:val="24"/>
        </w:rPr>
        <w:t xml:space="preserve">nonetheless distinct and sacred amongst those that are aware. </w:t>
      </w:r>
    </w:p>
    <w:p w:rsidR="007B57B0" w:rsidRDefault="007B57B0" w:rsidP="007B57B0">
      <w:pPr>
        <w:spacing w:line="480" w:lineRule="auto"/>
        <w:ind w:firstLine="720"/>
        <w:contextualSpacing/>
        <w:rPr>
          <w:sz w:val="24"/>
        </w:rPr>
      </w:pPr>
      <w:r>
        <w:rPr>
          <w:sz w:val="24"/>
        </w:rPr>
        <w:t xml:space="preserve">Though the identity of the “Athens of the South” remains largely in the shadow of “Music City,” a special Conservancy </w:t>
      </w:r>
      <w:proofErr w:type="gramStart"/>
      <w:r>
        <w:rPr>
          <w:sz w:val="24"/>
        </w:rPr>
        <w:t>exists</w:t>
      </w:r>
      <w:proofErr w:type="gramEnd"/>
      <w:r>
        <w:rPr>
          <w:sz w:val="24"/>
        </w:rPr>
        <w:t xml:space="preserve"> that promotes and preserves these two identities of Nashville’s social fabric. The public statement of the Conservancy for the Parthenon and Centennial Park explains:</w:t>
      </w:r>
    </w:p>
    <w:p w:rsidR="007B57B0" w:rsidRDefault="007B57B0" w:rsidP="007B57B0">
      <w:pPr>
        <w:spacing w:line="480" w:lineRule="auto"/>
        <w:ind w:left="1440"/>
        <w:contextualSpacing/>
        <w:rPr>
          <w:sz w:val="24"/>
        </w:rPr>
      </w:pPr>
      <w:r>
        <w:rPr>
          <w:sz w:val="24"/>
        </w:rPr>
        <w:t>T</w:t>
      </w:r>
      <w:r w:rsidRPr="004A5ACB">
        <w:rPr>
          <w:sz w:val="24"/>
        </w:rPr>
        <w:t>he Conservancy for the Parthenon and Centennial Park began in 1982 as the Athena Fund. Its original purpose was to raise funds to recreate the statue Athena, which stood in the ancient Greek Parthenon. This project led to further funding for the gilding of Athena and complete restoration of the miniature Pediment Sculptures. The Conservancy created a Docent Program and supports Parthenon educational programs, symposia speaker series, ongoing exhibits, Greek theatre and special projects.</w:t>
      </w:r>
      <w:r>
        <w:rPr>
          <w:sz w:val="24"/>
        </w:rPr>
        <w:t xml:space="preserve"> [. . .] W</w:t>
      </w:r>
      <w:r w:rsidRPr="004A5ACB">
        <w:rPr>
          <w:sz w:val="24"/>
        </w:rPr>
        <w:t xml:space="preserve">e </w:t>
      </w:r>
      <w:r>
        <w:rPr>
          <w:sz w:val="24"/>
        </w:rPr>
        <w:t xml:space="preserve">[also] </w:t>
      </w:r>
      <w:r w:rsidRPr="004A5ACB">
        <w:rPr>
          <w:sz w:val="24"/>
        </w:rPr>
        <w:t xml:space="preserve">fund this free outdoor music experience </w:t>
      </w:r>
      <w:r>
        <w:rPr>
          <w:sz w:val="24"/>
        </w:rPr>
        <w:t xml:space="preserve">[Musicians Corner] </w:t>
      </w:r>
      <w:r w:rsidRPr="004A5ACB">
        <w:rPr>
          <w:sz w:val="24"/>
        </w:rPr>
        <w:t>in the park on Saturdays in Centennial Park</w:t>
      </w:r>
      <w:r>
        <w:rPr>
          <w:sz w:val="24"/>
        </w:rPr>
        <w:t xml:space="preserve">. [. . .] </w:t>
      </w:r>
      <w:r w:rsidRPr="00BD3F02">
        <w:rPr>
          <w:sz w:val="24"/>
        </w:rPr>
        <w:t>The Conservancy is a for purpose 501(c</w:t>
      </w:r>
      <w:proofErr w:type="gramStart"/>
      <w:r w:rsidRPr="00BD3F02">
        <w:rPr>
          <w:sz w:val="24"/>
        </w:rPr>
        <w:t>)(</w:t>
      </w:r>
      <w:proofErr w:type="gramEnd"/>
      <w:r w:rsidRPr="00BD3F02">
        <w:rPr>
          <w:sz w:val="24"/>
        </w:rPr>
        <w:t>3) nonprofit that serves a vital role in our community</w:t>
      </w:r>
      <w:r>
        <w:rPr>
          <w:sz w:val="24"/>
        </w:rPr>
        <w:t>.</w:t>
      </w:r>
      <w:r>
        <w:rPr>
          <w:rStyle w:val="FootnoteReference"/>
          <w:sz w:val="24"/>
        </w:rPr>
        <w:footnoteReference w:id="146"/>
      </w:r>
    </w:p>
    <w:p w:rsidR="007B57B0" w:rsidRPr="00480977" w:rsidRDefault="007B57B0" w:rsidP="007B57B0">
      <w:pPr>
        <w:spacing w:line="480" w:lineRule="auto"/>
        <w:ind w:firstLine="720"/>
        <w:contextualSpacing/>
        <w:rPr>
          <w:rFonts w:cs="Times New Roman"/>
          <w:sz w:val="24"/>
          <w:szCs w:val="24"/>
        </w:rPr>
      </w:pPr>
      <w:r>
        <w:rPr>
          <w:sz w:val="24"/>
        </w:rPr>
        <w:t xml:space="preserve">The function of the Parthenon in Nashville is far from the original ancient Parthenon and its role upon the Akropolis. In modern Nashville, visitors to the Parthenon enter the temple through a basement entrance to purchase a museum ticket so that they might explore the lower galleries and then the upper chambers. So long as a visitor can pay admission into the museum, anyone can enter the Parthenon to </w:t>
      </w:r>
      <w:r>
        <w:rPr>
          <w:sz w:val="24"/>
        </w:rPr>
        <w:lastRenderedPageBreak/>
        <w:t xml:space="preserve">explore its treasures and appreciate its impressive qualities. The sacred space </w:t>
      </w:r>
      <w:proofErr w:type="gramStart"/>
      <w:r>
        <w:rPr>
          <w:sz w:val="24"/>
        </w:rPr>
        <w:t>can be rented</w:t>
      </w:r>
      <w:proofErr w:type="gramEnd"/>
      <w:r>
        <w:rPr>
          <w:sz w:val="24"/>
        </w:rPr>
        <w:t xml:space="preserve"> for special events, concerts, weddings, receptions, photoshoots, and much m</w:t>
      </w:r>
      <w:r w:rsidR="00505FD4">
        <w:rPr>
          <w:sz w:val="24"/>
        </w:rPr>
        <w:t>ore, provided appropriate compensation</w:t>
      </w:r>
      <w:r>
        <w:rPr>
          <w:sz w:val="24"/>
        </w:rPr>
        <w:t xml:space="preserve"> is given. This stands in stark contrast to the original use of the ancient Parthenon – the ancient that </w:t>
      </w:r>
      <w:proofErr w:type="gramStart"/>
      <w:r>
        <w:rPr>
          <w:sz w:val="24"/>
        </w:rPr>
        <w:t>was emphasized</w:t>
      </w:r>
      <w:proofErr w:type="gramEnd"/>
      <w:r>
        <w:rPr>
          <w:sz w:val="24"/>
        </w:rPr>
        <w:t xml:space="preserve"> heavily in original romantic traditions of Nashville’s elite. When the </w:t>
      </w:r>
      <w:r w:rsidR="0035104D">
        <w:rPr>
          <w:sz w:val="24"/>
        </w:rPr>
        <w:t xml:space="preserve">ancient </w:t>
      </w:r>
      <w:r>
        <w:rPr>
          <w:sz w:val="24"/>
        </w:rPr>
        <w:t xml:space="preserve">Parthenon became a church and mosque, its sacred use changed to adapt. As </w:t>
      </w:r>
      <w:proofErr w:type="gramStart"/>
      <w:r>
        <w:rPr>
          <w:sz w:val="24"/>
        </w:rPr>
        <w:t>Nashville’s</w:t>
      </w:r>
      <w:proofErr w:type="gramEnd"/>
      <w:r>
        <w:rPr>
          <w:sz w:val="24"/>
        </w:rPr>
        <w:t xml:space="preserve"> cultural fabric is altered, so the use and symbolism of the Parthenon has changed from a representation of the sophisticated ideals in art, democracy, and education to an attraction for all to enjoy and appreciate. Today, millions of visitors come to the park each year from around the world to appreciate the sacred areas of Centennial Park, whether the groves or the symbolic temple that represents the “Athens of the South” identity. The sacred groves of Centennial Park which frame the Parthenon have been and are still used for concerts, plays, exercise and recreation, movie showings, monumental dedications to important civil leaders, display of historic technology such as the steam engine Giant Locomotive 576 and the F-86 fighter jet, and any public gatherings of benefit to the community</w:t>
      </w:r>
      <w:r w:rsidR="0002694E">
        <w:rPr>
          <w:sz w:val="24"/>
        </w:rPr>
        <w:t xml:space="preserve"> (See Figure 4-4)</w:t>
      </w:r>
      <w:r>
        <w:rPr>
          <w:sz w:val="24"/>
        </w:rPr>
        <w:t xml:space="preserve">. </w:t>
      </w:r>
      <w:r w:rsidR="004D05C9">
        <w:rPr>
          <w:sz w:val="24"/>
        </w:rPr>
        <w:t>T</w:t>
      </w:r>
      <w:r>
        <w:rPr>
          <w:sz w:val="24"/>
        </w:rPr>
        <w:t>he Parthenon now lies in both modern Athens as an attraction and modern Nashville, the “Athens of the South,” as a museum attraction in Centennial Park’s recreational space</w:t>
      </w:r>
      <w:r w:rsidR="004D05C9">
        <w:rPr>
          <w:sz w:val="24"/>
        </w:rPr>
        <w:t>. T</w:t>
      </w:r>
      <w:r w:rsidRPr="007C0D72">
        <w:rPr>
          <w:sz w:val="24"/>
        </w:rPr>
        <w:t xml:space="preserve">he Parthenon has yet another chapter in its history of </w:t>
      </w:r>
      <w:proofErr w:type="spellStart"/>
      <w:r w:rsidR="00947BD0">
        <w:rPr>
          <w:sz w:val="24"/>
        </w:rPr>
        <w:t>adaptational</w:t>
      </w:r>
      <w:proofErr w:type="spellEnd"/>
      <w:r w:rsidR="00947BD0">
        <w:rPr>
          <w:sz w:val="24"/>
        </w:rPr>
        <w:t xml:space="preserve"> uses</w:t>
      </w:r>
      <w:r w:rsidRPr="007C0D72">
        <w:rPr>
          <w:sz w:val="24"/>
        </w:rPr>
        <w:t xml:space="preserve"> within the meanings cultures apply to it, which places fuller meaning on Plutarch’s observance</w:t>
      </w:r>
      <w:r>
        <w:rPr>
          <w:sz w:val="24"/>
        </w:rPr>
        <w:t xml:space="preserve"> that the Parthenon, as a part of the Periklian building program, was</w:t>
      </w:r>
      <w:r w:rsidRPr="007C0D72">
        <w:rPr>
          <w:sz w:val="24"/>
        </w:rPr>
        <w:t>, “</w:t>
      </w:r>
      <w:r w:rsidRPr="007C0D72">
        <w:rPr>
          <w:rFonts w:cs="Times New Roman"/>
          <w:sz w:val="24"/>
          <w:szCs w:val="24"/>
        </w:rPr>
        <w:t>creat</w:t>
      </w:r>
      <w:r>
        <w:rPr>
          <w:rFonts w:cs="Times New Roman"/>
          <w:sz w:val="24"/>
          <w:szCs w:val="24"/>
        </w:rPr>
        <w:t>ed in a short time for all time.”</w:t>
      </w:r>
      <w:r>
        <w:rPr>
          <w:rStyle w:val="FootnoteReference"/>
          <w:rFonts w:cs="Times New Roman"/>
          <w:sz w:val="24"/>
          <w:szCs w:val="24"/>
        </w:rPr>
        <w:footnoteReference w:id="147"/>
      </w:r>
    </w:p>
    <w:p w:rsidR="008671D4" w:rsidRDefault="007B57B0" w:rsidP="005654E3">
      <w:pPr>
        <w:keepNext/>
        <w:spacing w:line="480" w:lineRule="auto"/>
        <w:ind w:left="-720" w:right="-1260"/>
        <w:contextualSpacing/>
        <w:jc w:val="center"/>
      </w:pPr>
      <w:r>
        <w:rPr>
          <w:noProof/>
          <w:sz w:val="24"/>
        </w:rPr>
        <w:lastRenderedPageBreak/>
        <w:drawing>
          <wp:inline distT="0" distB="0" distL="0" distR="0" wp14:anchorId="6B59063F" wp14:editId="51519CD7">
            <wp:extent cx="5386388" cy="2486025"/>
            <wp:effectExtent l="0" t="0" r="5080" b="0"/>
            <wp:docPr id="25" name="Picture 25" descr="C:\Users\Luke\Desktop\Future Plans of Centennial Pa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uke\Desktop\Future Plans of Centennial Park.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12233" cy="2497954"/>
                    </a:xfrm>
                    <a:prstGeom prst="rect">
                      <a:avLst/>
                    </a:prstGeom>
                    <a:noFill/>
                    <a:ln>
                      <a:noFill/>
                    </a:ln>
                    <a:effectLst>
                      <a:softEdge rad="63500"/>
                    </a:effectLst>
                  </pic:spPr>
                </pic:pic>
              </a:graphicData>
            </a:graphic>
          </wp:inline>
        </w:drawing>
      </w:r>
    </w:p>
    <w:p w:rsidR="002C53C2" w:rsidRPr="005654E3" w:rsidRDefault="008671D4" w:rsidP="005654E3">
      <w:pPr>
        <w:pStyle w:val="Heading2"/>
        <w:jc w:val="center"/>
      </w:pPr>
      <w:bookmarkStart w:id="80" w:name="_Toc468630846"/>
      <w:bookmarkStart w:id="81" w:name="_Toc468649011"/>
      <w:r w:rsidRPr="005654E3">
        <w:t>Figure 4</w:t>
      </w:r>
      <w:r w:rsidRPr="005654E3">
        <w:noBreakHyphen/>
      </w:r>
      <w:r w:rsidRPr="005654E3">
        <w:fldChar w:fldCharType="begin"/>
      </w:r>
      <w:r w:rsidRPr="005654E3">
        <w:instrText xml:space="preserve"> SEQ Figure \* ARABIC \s 1 </w:instrText>
      </w:r>
      <w:r w:rsidRPr="005654E3">
        <w:fldChar w:fldCharType="separate"/>
      </w:r>
      <w:r w:rsidR="00FA56AB">
        <w:rPr>
          <w:noProof/>
        </w:rPr>
        <w:t>4</w:t>
      </w:r>
      <w:r w:rsidRPr="005654E3">
        <w:fldChar w:fldCharType="end"/>
      </w:r>
      <w:r w:rsidR="005654E3" w:rsidRPr="005654E3">
        <w:t>:</w:t>
      </w:r>
      <w:r w:rsidRPr="005654E3">
        <w:t xml:space="preserve"> </w:t>
      </w:r>
      <w:r w:rsidR="007E6A42" w:rsidRPr="005654E3">
        <w:t>Future Master Plan for the Parthenon and Centennial Park</w:t>
      </w:r>
      <w:bookmarkEnd w:id="80"/>
      <w:bookmarkEnd w:id="81"/>
    </w:p>
    <w:p w:rsidR="002C53C2" w:rsidRPr="007E6A42" w:rsidRDefault="007E6A42" w:rsidP="005654E3">
      <w:pPr>
        <w:spacing w:line="240" w:lineRule="auto"/>
        <w:contextualSpacing/>
        <w:jc w:val="center"/>
        <w:rPr>
          <w:color w:val="548DD4" w:themeColor="text2" w:themeTint="99"/>
          <w:sz w:val="24"/>
        </w:rPr>
      </w:pPr>
      <w:proofErr w:type="gramStart"/>
      <w:r w:rsidRPr="007E6A42">
        <w:rPr>
          <w:color w:val="548DD4" w:themeColor="text2" w:themeTint="99"/>
          <w:sz w:val="24"/>
        </w:rPr>
        <w:t>Reprinted from</w:t>
      </w:r>
      <w:r w:rsidR="002C53C2" w:rsidRPr="007E6A42">
        <w:rPr>
          <w:color w:val="548DD4" w:themeColor="text2" w:themeTint="99"/>
          <w:sz w:val="24"/>
        </w:rPr>
        <w:t xml:space="preserve"> Gustafson Guthrie Nichol, </w:t>
      </w:r>
      <w:r w:rsidRPr="007E6A42">
        <w:rPr>
          <w:color w:val="548DD4" w:themeColor="text2" w:themeTint="99"/>
          <w:sz w:val="24"/>
        </w:rPr>
        <w:t xml:space="preserve">“Looking Southeast toward the reflecting pool, formal gardens, and arrival plaza,” </w:t>
      </w:r>
      <w:r w:rsidR="002C53C2" w:rsidRPr="007E6A42">
        <w:rPr>
          <w:i/>
          <w:color w:val="548DD4" w:themeColor="text2" w:themeTint="99"/>
          <w:sz w:val="24"/>
        </w:rPr>
        <w:t>Centennial Park Master Plan</w:t>
      </w:r>
      <w:r w:rsidR="002C53C2" w:rsidRPr="007E6A42">
        <w:rPr>
          <w:color w:val="548DD4" w:themeColor="text2" w:themeTint="99"/>
          <w:sz w:val="24"/>
        </w:rPr>
        <w:t xml:space="preserve"> (Nashville, December 2010), 21.</w:t>
      </w:r>
      <w:proofErr w:type="gramEnd"/>
    </w:p>
    <w:p w:rsidR="007B57B0" w:rsidRPr="005C6A67" w:rsidRDefault="007B57B0" w:rsidP="007E6A42">
      <w:pPr>
        <w:spacing w:line="480" w:lineRule="auto"/>
        <w:ind w:right="-1260"/>
        <w:contextualSpacing/>
        <w:rPr>
          <w:sz w:val="24"/>
        </w:rPr>
      </w:pPr>
    </w:p>
    <w:p w:rsidR="006A2213" w:rsidRDefault="006A2213"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B57B0">
      <w:pPr>
        <w:spacing w:line="240" w:lineRule="auto"/>
        <w:contextualSpacing/>
        <w:jc w:val="center"/>
        <w:rPr>
          <w:sz w:val="24"/>
        </w:rPr>
      </w:pPr>
    </w:p>
    <w:p w:rsidR="007F1130" w:rsidRDefault="007F1130" w:rsidP="007F1130">
      <w:pPr>
        <w:spacing w:line="240" w:lineRule="auto"/>
        <w:contextualSpacing/>
        <w:rPr>
          <w:sz w:val="24"/>
        </w:rPr>
      </w:pPr>
    </w:p>
    <w:p w:rsidR="007F1130" w:rsidRPr="0019045D" w:rsidRDefault="007F1130" w:rsidP="00DA1BE5">
      <w:pPr>
        <w:pStyle w:val="Heading1"/>
        <w:spacing w:line="480" w:lineRule="auto"/>
        <w:contextualSpacing/>
        <w:jc w:val="center"/>
        <w:rPr>
          <w:i/>
        </w:rPr>
      </w:pPr>
      <w:bookmarkStart w:id="82" w:name="_Toc468630847"/>
      <w:r w:rsidRPr="0019045D">
        <w:rPr>
          <w:i/>
        </w:rPr>
        <w:lastRenderedPageBreak/>
        <w:t>Bibliography</w:t>
      </w:r>
      <w:bookmarkEnd w:id="82"/>
    </w:p>
    <w:p w:rsidR="00BB4E85" w:rsidRPr="00DA1BE5" w:rsidRDefault="00BB4E85" w:rsidP="00DA1BE5">
      <w:pPr>
        <w:tabs>
          <w:tab w:val="left" w:pos="810"/>
          <w:tab w:val="left" w:pos="6780"/>
        </w:tabs>
        <w:spacing w:line="480" w:lineRule="auto"/>
        <w:ind w:left="720" w:hanging="720"/>
        <w:contextualSpacing/>
        <w:rPr>
          <w:sz w:val="24"/>
          <w:szCs w:val="24"/>
        </w:rPr>
      </w:pPr>
      <w:proofErr w:type="gramStart"/>
      <w:r w:rsidRPr="00DA1BE5">
        <w:rPr>
          <w:sz w:val="24"/>
          <w:szCs w:val="24"/>
        </w:rPr>
        <w:t xml:space="preserve">Anderson, William J., and R. </w:t>
      </w:r>
      <w:proofErr w:type="spellStart"/>
      <w:r w:rsidRPr="00DA1BE5">
        <w:rPr>
          <w:sz w:val="24"/>
          <w:szCs w:val="24"/>
        </w:rPr>
        <w:t>Phené</w:t>
      </w:r>
      <w:proofErr w:type="spellEnd"/>
      <w:r w:rsidRPr="00DA1BE5">
        <w:rPr>
          <w:sz w:val="24"/>
          <w:szCs w:val="24"/>
        </w:rPr>
        <w:t xml:space="preserve"> </w:t>
      </w:r>
      <w:proofErr w:type="spellStart"/>
      <w:r w:rsidRPr="00DA1BE5">
        <w:rPr>
          <w:sz w:val="24"/>
          <w:szCs w:val="24"/>
        </w:rPr>
        <w:t>Spiers</w:t>
      </w:r>
      <w:proofErr w:type="spellEnd"/>
      <w:r w:rsidRPr="00DA1BE5">
        <w:rPr>
          <w:sz w:val="24"/>
          <w:szCs w:val="24"/>
        </w:rPr>
        <w:t>.</w:t>
      </w:r>
      <w:proofErr w:type="gramEnd"/>
      <w:r w:rsidRPr="00DA1BE5">
        <w:rPr>
          <w:sz w:val="24"/>
          <w:szCs w:val="24"/>
        </w:rPr>
        <w:t xml:space="preserve"> </w:t>
      </w:r>
      <w:proofErr w:type="gramStart"/>
      <w:r w:rsidRPr="00DA1BE5">
        <w:rPr>
          <w:i/>
          <w:sz w:val="24"/>
          <w:szCs w:val="24"/>
        </w:rPr>
        <w:t>The Architecture of Ancient Greece: An Account of Its Historic Development</w:t>
      </w:r>
      <w:r w:rsidRPr="00DA1BE5">
        <w:rPr>
          <w:sz w:val="24"/>
          <w:szCs w:val="24"/>
        </w:rPr>
        <w:t>.</w:t>
      </w:r>
      <w:proofErr w:type="gramEnd"/>
      <w:r w:rsidRPr="00DA1BE5">
        <w:rPr>
          <w:sz w:val="24"/>
          <w:szCs w:val="24"/>
        </w:rPr>
        <w:t xml:space="preserve"> </w:t>
      </w:r>
      <w:proofErr w:type="gramStart"/>
      <w:r w:rsidRPr="00DA1BE5">
        <w:rPr>
          <w:sz w:val="24"/>
          <w:szCs w:val="24"/>
        </w:rPr>
        <w:t xml:space="preserve">Rev. and </w:t>
      </w:r>
      <w:proofErr w:type="spellStart"/>
      <w:r w:rsidRPr="00DA1BE5">
        <w:rPr>
          <w:sz w:val="24"/>
          <w:szCs w:val="24"/>
        </w:rPr>
        <w:t>Rewrit</w:t>
      </w:r>
      <w:proofErr w:type="spellEnd"/>
      <w:r w:rsidRPr="00DA1BE5">
        <w:rPr>
          <w:sz w:val="24"/>
          <w:szCs w:val="24"/>
        </w:rPr>
        <w:t>.</w:t>
      </w:r>
      <w:proofErr w:type="gramEnd"/>
      <w:r w:rsidRPr="00DA1BE5">
        <w:rPr>
          <w:sz w:val="24"/>
          <w:szCs w:val="24"/>
        </w:rPr>
        <w:t xml:space="preserve"> </w:t>
      </w:r>
      <w:proofErr w:type="gramStart"/>
      <w:r w:rsidRPr="00DA1BE5">
        <w:rPr>
          <w:sz w:val="24"/>
          <w:szCs w:val="24"/>
        </w:rPr>
        <w:t>William Bell Dinsmoor.</w:t>
      </w:r>
      <w:proofErr w:type="gramEnd"/>
      <w:r w:rsidRPr="00DA1BE5">
        <w:rPr>
          <w:sz w:val="24"/>
          <w:szCs w:val="24"/>
        </w:rPr>
        <w:t xml:space="preserve"> London: B.T. </w:t>
      </w:r>
      <w:proofErr w:type="spellStart"/>
      <w:r w:rsidRPr="00DA1BE5">
        <w:rPr>
          <w:sz w:val="24"/>
          <w:szCs w:val="24"/>
        </w:rPr>
        <w:t>Batsford</w:t>
      </w:r>
      <w:proofErr w:type="spellEnd"/>
      <w:r w:rsidRPr="00DA1BE5">
        <w:rPr>
          <w:sz w:val="24"/>
          <w:szCs w:val="24"/>
        </w:rPr>
        <w:t xml:space="preserve">, 1927. </w:t>
      </w:r>
    </w:p>
    <w:p w:rsidR="00BB4E85" w:rsidRPr="00DA1BE5" w:rsidRDefault="00DA1BE5" w:rsidP="00DA1BE5">
      <w:pPr>
        <w:tabs>
          <w:tab w:val="left" w:pos="810"/>
          <w:tab w:val="left" w:pos="6780"/>
        </w:tabs>
        <w:spacing w:line="480" w:lineRule="auto"/>
        <w:ind w:left="720" w:hanging="720"/>
        <w:contextualSpacing/>
        <w:rPr>
          <w:sz w:val="24"/>
          <w:szCs w:val="24"/>
        </w:rPr>
      </w:pPr>
      <w:proofErr w:type="spellStart"/>
      <w:r w:rsidRPr="00DA1BE5">
        <w:rPr>
          <w:sz w:val="24"/>
          <w:szCs w:val="24"/>
        </w:rPr>
        <w:t>Ayrton</w:t>
      </w:r>
      <w:proofErr w:type="spellEnd"/>
      <w:r w:rsidRPr="00DA1BE5">
        <w:rPr>
          <w:sz w:val="24"/>
          <w:szCs w:val="24"/>
        </w:rPr>
        <w:t>, Elisabeth.</w:t>
      </w:r>
      <w:r w:rsidR="00BB4E85" w:rsidRPr="00DA1BE5">
        <w:rPr>
          <w:sz w:val="24"/>
          <w:szCs w:val="24"/>
        </w:rPr>
        <w:t xml:space="preserve"> </w:t>
      </w:r>
      <w:proofErr w:type="gramStart"/>
      <w:r w:rsidR="00BB4E85" w:rsidRPr="00DA1BE5">
        <w:rPr>
          <w:i/>
          <w:sz w:val="24"/>
          <w:szCs w:val="24"/>
        </w:rPr>
        <w:t>The Doric Temple</w:t>
      </w:r>
      <w:r w:rsidR="00BB4E85" w:rsidRPr="00DA1BE5">
        <w:rPr>
          <w:sz w:val="24"/>
          <w:szCs w:val="24"/>
        </w:rPr>
        <w:t>.</w:t>
      </w:r>
      <w:proofErr w:type="gramEnd"/>
      <w:r w:rsidR="00BB4E85" w:rsidRPr="00DA1BE5">
        <w:rPr>
          <w:sz w:val="24"/>
          <w:szCs w:val="24"/>
        </w:rPr>
        <w:t xml:space="preserve"> New York: Clarkson N. Potter, Inc., 1961.</w:t>
      </w:r>
    </w:p>
    <w:p w:rsidR="00BB4E85" w:rsidRPr="00DA1BE5" w:rsidRDefault="00DA1BE5" w:rsidP="00DA1BE5">
      <w:pPr>
        <w:tabs>
          <w:tab w:val="left" w:pos="810"/>
          <w:tab w:val="left" w:pos="6780"/>
        </w:tabs>
        <w:spacing w:line="480" w:lineRule="auto"/>
        <w:ind w:left="720" w:hanging="720"/>
        <w:contextualSpacing/>
        <w:rPr>
          <w:sz w:val="24"/>
          <w:szCs w:val="24"/>
        </w:rPr>
      </w:pPr>
      <w:r w:rsidRPr="00DA1BE5">
        <w:rPr>
          <w:sz w:val="24"/>
          <w:szCs w:val="24"/>
        </w:rPr>
        <w:t>Beard, Mary.</w:t>
      </w:r>
      <w:r w:rsidR="00BB4E85" w:rsidRPr="00DA1BE5">
        <w:rPr>
          <w:sz w:val="24"/>
          <w:szCs w:val="24"/>
        </w:rPr>
        <w:t xml:space="preserve"> </w:t>
      </w:r>
      <w:proofErr w:type="gramStart"/>
      <w:r w:rsidR="00BB4E85" w:rsidRPr="00DA1BE5">
        <w:rPr>
          <w:i/>
          <w:sz w:val="24"/>
          <w:szCs w:val="24"/>
        </w:rPr>
        <w:t>The Parthenon</w:t>
      </w:r>
      <w:r w:rsidR="00BB4E85" w:rsidRPr="00DA1BE5">
        <w:rPr>
          <w:sz w:val="24"/>
          <w:szCs w:val="24"/>
        </w:rPr>
        <w:t>.</w:t>
      </w:r>
      <w:proofErr w:type="gramEnd"/>
      <w:r w:rsidR="00BB4E85" w:rsidRPr="00DA1BE5">
        <w:rPr>
          <w:sz w:val="24"/>
          <w:szCs w:val="24"/>
        </w:rPr>
        <w:t xml:space="preserve"> Cambridge: Harvard UP, 2002.</w:t>
      </w:r>
    </w:p>
    <w:p w:rsidR="00BB4E85" w:rsidRPr="00DA1BE5" w:rsidRDefault="00BB4E85" w:rsidP="00DA1BE5">
      <w:pPr>
        <w:tabs>
          <w:tab w:val="left" w:pos="810"/>
          <w:tab w:val="left" w:pos="6780"/>
        </w:tabs>
        <w:spacing w:line="480" w:lineRule="auto"/>
        <w:ind w:left="720" w:hanging="720"/>
        <w:contextualSpacing/>
        <w:rPr>
          <w:sz w:val="24"/>
          <w:szCs w:val="24"/>
        </w:rPr>
      </w:pPr>
      <w:r w:rsidRPr="00DA1BE5">
        <w:rPr>
          <w:sz w:val="24"/>
          <w:szCs w:val="24"/>
        </w:rPr>
        <w:t>Bowie, Th</w:t>
      </w:r>
      <w:r w:rsidR="00DA1BE5" w:rsidRPr="00DA1BE5">
        <w:rPr>
          <w:sz w:val="24"/>
          <w:szCs w:val="24"/>
        </w:rPr>
        <w:t xml:space="preserve">eodore and </w:t>
      </w:r>
      <w:proofErr w:type="spellStart"/>
      <w:r w:rsidR="00DA1BE5" w:rsidRPr="00DA1BE5">
        <w:rPr>
          <w:sz w:val="24"/>
          <w:szCs w:val="24"/>
        </w:rPr>
        <w:t>Diether</w:t>
      </w:r>
      <w:proofErr w:type="spellEnd"/>
      <w:r w:rsidR="00DA1BE5" w:rsidRPr="00DA1BE5">
        <w:rPr>
          <w:sz w:val="24"/>
          <w:szCs w:val="24"/>
        </w:rPr>
        <w:t xml:space="preserve"> </w:t>
      </w:r>
      <w:proofErr w:type="spellStart"/>
      <w:r w:rsidR="00DA1BE5" w:rsidRPr="00DA1BE5">
        <w:rPr>
          <w:sz w:val="24"/>
          <w:szCs w:val="24"/>
        </w:rPr>
        <w:t>Thimme</w:t>
      </w:r>
      <w:proofErr w:type="spellEnd"/>
      <w:r w:rsidR="00DA1BE5" w:rsidRPr="00DA1BE5">
        <w:rPr>
          <w:sz w:val="24"/>
          <w:szCs w:val="24"/>
        </w:rPr>
        <w:t xml:space="preserve">, </w:t>
      </w:r>
      <w:proofErr w:type="gramStart"/>
      <w:r w:rsidR="00DA1BE5" w:rsidRPr="00DA1BE5">
        <w:rPr>
          <w:sz w:val="24"/>
          <w:szCs w:val="24"/>
        </w:rPr>
        <w:t>eds</w:t>
      </w:r>
      <w:proofErr w:type="gramEnd"/>
      <w:r w:rsidR="00DA1BE5" w:rsidRPr="00DA1BE5">
        <w:rPr>
          <w:sz w:val="24"/>
          <w:szCs w:val="24"/>
        </w:rPr>
        <w:t>.</w:t>
      </w:r>
      <w:r w:rsidRPr="00DA1BE5">
        <w:rPr>
          <w:sz w:val="24"/>
          <w:szCs w:val="24"/>
        </w:rPr>
        <w:t xml:space="preserve"> </w:t>
      </w:r>
      <w:proofErr w:type="gramStart"/>
      <w:r w:rsidRPr="00DA1BE5">
        <w:rPr>
          <w:i/>
          <w:sz w:val="24"/>
          <w:szCs w:val="24"/>
        </w:rPr>
        <w:t>The Carrey Drawings of the Parthenon Sculptures</w:t>
      </w:r>
      <w:r w:rsidRPr="00DA1BE5">
        <w:rPr>
          <w:sz w:val="24"/>
          <w:szCs w:val="24"/>
        </w:rPr>
        <w:t>.</w:t>
      </w:r>
      <w:proofErr w:type="gramEnd"/>
      <w:r w:rsidRPr="00DA1BE5">
        <w:rPr>
          <w:sz w:val="24"/>
          <w:szCs w:val="24"/>
        </w:rPr>
        <w:t xml:space="preserve"> Bloomington: Indiana UP, 1971.</w:t>
      </w:r>
    </w:p>
    <w:p w:rsidR="00BB4E85" w:rsidRPr="00DA1BE5" w:rsidRDefault="00DA1BE5" w:rsidP="00DA1BE5">
      <w:pPr>
        <w:pStyle w:val="FootnoteText"/>
        <w:tabs>
          <w:tab w:val="left" w:pos="810"/>
        </w:tabs>
        <w:spacing w:line="480" w:lineRule="auto"/>
        <w:ind w:left="720" w:hanging="720"/>
        <w:contextualSpacing/>
        <w:rPr>
          <w:sz w:val="24"/>
          <w:szCs w:val="24"/>
        </w:rPr>
      </w:pPr>
      <w:proofErr w:type="spellStart"/>
      <w:r w:rsidRPr="00DA1BE5">
        <w:rPr>
          <w:sz w:val="24"/>
          <w:szCs w:val="24"/>
        </w:rPr>
        <w:t>Bucy</w:t>
      </w:r>
      <w:proofErr w:type="spellEnd"/>
      <w:r w:rsidRPr="00DA1BE5">
        <w:rPr>
          <w:sz w:val="24"/>
          <w:szCs w:val="24"/>
        </w:rPr>
        <w:t>, Carole Stanford.</w:t>
      </w:r>
      <w:r w:rsidR="00BB4E85" w:rsidRPr="00DA1BE5">
        <w:rPr>
          <w:sz w:val="24"/>
          <w:szCs w:val="24"/>
        </w:rPr>
        <w:t xml:space="preserve"> </w:t>
      </w:r>
      <w:proofErr w:type="gramStart"/>
      <w:r w:rsidR="00BB4E85" w:rsidRPr="00DA1BE5">
        <w:rPr>
          <w:sz w:val="24"/>
          <w:szCs w:val="24"/>
        </w:rPr>
        <w:t xml:space="preserve">“Ann Robertson Johnston Cockrill,” </w:t>
      </w:r>
      <w:r w:rsidR="00BB4E85" w:rsidRPr="00DA1BE5">
        <w:rPr>
          <w:i/>
          <w:sz w:val="24"/>
          <w:szCs w:val="24"/>
        </w:rPr>
        <w:t>The Tennessee Encyclopedia of History and Culture</w:t>
      </w:r>
      <w:r w:rsidR="00BB4E85" w:rsidRPr="00DA1BE5">
        <w:rPr>
          <w:sz w:val="24"/>
          <w:szCs w:val="24"/>
        </w:rPr>
        <w:t xml:space="preserve">, January 10, 2010, </w:t>
      </w:r>
      <w:hyperlink r:id="rId42" w:history="1">
        <w:r w:rsidR="00BB4E85" w:rsidRPr="00DA1BE5">
          <w:rPr>
            <w:rStyle w:val="Hyperlink"/>
            <w:color w:val="0070C0"/>
            <w:sz w:val="24"/>
            <w:szCs w:val="24"/>
          </w:rPr>
          <w:t>http://tennesseeencyclopedia.net/entry.php?rec=284</w:t>
        </w:r>
      </w:hyperlink>
      <w:r w:rsidR="00BB4E85" w:rsidRPr="00DA1BE5">
        <w:rPr>
          <w:sz w:val="24"/>
          <w:szCs w:val="24"/>
        </w:rPr>
        <w:t>.</w:t>
      </w:r>
      <w:proofErr w:type="gramEnd"/>
    </w:p>
    <w:p w:rsidR="00BB4E85" w:rsidRPr="00DA1BE5" w:rsidRDefault="00DA1BE5" w:rsidP="00DA1BE5">
      <w:pPr>
        <w:pStyle w:val="FootnoteText"/>
        <w:tabs>
          <w:tab w:val="left" w:pos="810"/>
        </w:tabs>
        <w:spacing w:line="480" w:lineRule="auto"/>
        <w:ind w:left="720" w:hanging="720"/>
        <w:contextualSpacing/>
        <w:rPr>
          <w:sz w:val="24"/>
          <w:szCs w:val="24"/>
        </w:rPr>
      </w:pPr>
      <w:r w:rsidRPr="00DA1BE5">
        <w:rPr>
          <w:sz w:val="24"/>
          <w:szCs w:val="24"/>
        </w:rPr>
        <w:t>Burt, Jr., Jesse C.</w:t>
      </w:r>
      <w:r w:rsidR="00BB4E85" w:rsidRPr="00DA1BE5">
        <w:rPr>
          <w:sz w:val="24"/>
          <w:szCs w:val="24"/>
        </w:rPr>
        <w:t xml:space="preserve"> “The Major Found the Plans”; </w:t>
      </w:r>
      <w:r w:rsidR="00BB4E85" w:rsidRPr="00DA1BE5">
        <w:rPr>
          <w:i/>
          <w:sz w:val="24"/>
          <w:szCs w:val="24"/>
        </w:rPr>
        <w:t>Tennessean</w:t>
      </w:r>
      <w:r w:rsidR="00BB4E85" w:rsidRPr="00DA1BE5">
        <w:rPr>
          <w:sz w:val="24"/>
          <w:szCs w:val="24"/>
        </w:rPr>
        <w:t xml:space="preserve">. Oct. 18, 1953. </w:t>
      </w:r>
      <w:proofErr w:type="gramStart"/>
      <w:r w:rsidR="00BB4E85" w:rsidRPr="00DA1BE5">
        <w:rPr>
          <w:sz w:val="24"/>
          <w:szCs w:val="24"/>
        </w:rPr>
        <w:t>From the Metro Archives.</w:t>
      </w:r>
      <w:proofErr w:type="gramEnd"/>
    </w:p>
    <w:p w:rsidR="00BB4E85" w:rsidRPr="00DA1BE5" w:rsidRDefault="00DA1BE5" w:rsidP="00DA1BE5">
      <w:pPr>
        <w:pStyle w:val="FootnoteText"/>
        <w:tabs>
          <w:tab w:val="left" w:pos="810"/>
        </w:tabs>
        <w:spacing w:line="480" w:lineRule="auto"/>
        <w:ind w:left="720" w:hanging="720"/>
        <w:contextualSpacing/>
        <w:rPr>
          <w:sz w:val="24"/>
          <w:szCs w:val="24"/>
        </w:rPr>
      </w:pPr>
      <w:r w:rsidRPr="00DA1BE5">
        <w:rPr>
          <w:sz w:val="24"/>
          <w:szCs w:val="24"/>
        </w:rPr>
        <w:t>Burt, Jr., Jesse C.</w:t>
      </w:r>
      <w:r w:rsidR="00BB4E85" w:rsidRPr="00DA1BE5">
        <w:rPr>
          <w:sz w:val="24"/>
          <w:szCs w:val="24"/>
        </w:rPr>
        <w:t xml:space="preserve"> </w:t>
      </w:r>
      <w:r w:rsidR="00BB4E85" w:rsidRPr="00DA1BE5">
        <w:rPr>
          <w:i/>
          <w:sz w:val="24"/>
          <w:szCs w:val="24"/>
        </w:rPr>
        <w:t>Nashville: Its Life and Times</w:t>
      </w:r>
      <w:r w:rsidR="00BB4E85" w:rsidRPr="00DA1BE5">
        <w:rPr>
          <w:sz w:val="24"/>
          <w:szCs w:val="24"/>
        </w:rPr>
        <w:t xml:space="preserve">. Nashville: Tennessee Book Co., 1959. </w:t>
      </w:r>
    </w:p>
    <w:p w:rsidR="00BB4E85" w:rsidRPr="00DA1BE5" w:rsidRDefault="00DA1BE5" w:rsidP="00DA1BE5">
      <w:pPr>
        <w:tabs>
          <w:tab w:val="left" w:pos="810"/>
          <w:tab w:val="left" w:pos="6780"/>
        </w:tabs>
        <w:spacing w:line="480" w:lineRule="auto"/>
        <w:ind w:left="720" w:hanging="720"/>
        <w:contextualSpacing/>
        <w:rPr>
          <w:sz w:val="24"/>
          <w:szCs w:val="24"/>
        </w:rPr>
      </w:pPr>
      <w:r w:rsidRPr="00DA1BE5">
        <w:rPr>
          <w:sz w:val="24"/>
          <w:szCs w:val="24"/>
        </w:rPr>
        <w:t>Camp, John M.</w:t>
      </w:r>
      <w:r w:rsidR="00BB4E85" w:rsidRPr="00DA1BE5">
        <w:rPr>
          <w:sz w:val="24"/>
          <w:szCs w:val="24"/>
        </w:rPr>
        <w:t xml:space="preserve"> </w:t>
      </w:r>
      <w:proofErr w:type="gramStart"/>
      <w:r w:rsidR="00BB4E85" w:rsidRPr="00DA1BE5">
        <w:rPr>
          <w:i/>
          <w:sz w:val="24"/>
          <w:szCs w:val="24"/>
        </w:rPr>
        <w:t>The Archaeology of Athens</w:t>
      </w:r>
      <w:r w:rsidR="00BB4E85" w:rsidRPr="00DA1BE5">
        <w:rPr>
          <w:sz w:val="24"/>
          <w:szCs w:val="24"/>
        </w:rPr>
        <w:t>.</w:t>
      </w:r>
      <w:proofErr w:type="gramEnd"/>
      <w:r w:rsidR="00BB4E85" w:rsidRPr="00DA1BE5">
        <w:rPr>
          <w:sz w:val="24"/>
          <w:szCs w:val="24"/>
        </w:rPr>
        <w:t xml:space="preserve"> New Haven: Yale UP, 2001.</w:t>
      </w:r>
    </w:p>
    <w:p w:rsidR="00BB4E85" w:rsidRPr="00DA1BE5" w:rsidRDefault="00DA1BE5" w:rsidP="00DA1BE5">
      <w:pPr>
        <w:tabs>
          <w:tab w:val="left" w:pos="810"/>
          <w:tab w:val="left" w:pos="6780"/>
        </w:tabs>
        <w:spacing w:line="480" w:lineRule="auto"/>
        <w:ind w:left="720" w:hanging="720"/>
        <w:contextualSpacing/>
        <w:rPr>
          <w:sz w:val="24"/>
          <w:szCs w:val="24"/>
        </w:rPr>
      </w:pPr>
      <w:proofErr w:type="gramStart"/>
      <w:r w:rsidRPr="00DA1BE5">
        <w:rPr>
          <w:sz w:val="24"/>
          <w:szCs w:val="24"/>
        </w:rPr>
        <w:t>Carpenter, Rhys.</w:t>
      </w:r>
      <w:proofErr w:type="gramEnd"/>
      <w:r w:rsidR="00BB4E85" w:rsidRPr="00DA1BE5">
        <w:rPr>
          <w:sz w:val="24"/>
          <w:szCs w:val="24"/>
        </w:rPr>
        <w:t xml:space="preserve"> </w:t>
      </w:r>
      <w:proofErr w:type="gramStart"/>
      <w:r w:rsidR="00BB4E85" w:rsidRPr="00DA1BE5">
        <w:rPr>
          <w:i/>
          <w:sz w:val="24"/>
          <w:szCs w:val="24"/>
        </w:rPr>
        <w:t>The Architects of the Parthenon</w:t>
      </w:r>
      <w:r w:rsidR="00BB4E85" w:rsidRPr="00DA1BE5">
        <w:rPr>
          <w:sz w:val="24"/>
          <w:szCs w:val="24"/>
        </w:rPr>
        <w:t>.</w:t>
      </w:r>
      <w:proofErr w:type="gramEnd"/>
      <w:r w:rsidR="00BB4E85" w:rsidRPr="00DA1BE5">
        <w:rPr>
          <w:sz w:val="24"/>
          <w:szCs w:val="24"/>
        </w:rPr>
        <w:t xml:space="preserve"> Baltimore: Penguin, 1970.</w:t>
      </w:r>
    </w:p>
    <w:p w:rsidR="00BB4E85" w:rsidRPr="00DA1BE5" w:rsidRDefault="00DA1BE5" w:rsidP="00DA1BE5">
      <w:pPr>
        <w:tabs>
          <w:tab w:val="left" w:pos="810"/>
          <w:tab w:val="left" w:pos="6780"/>
        </w:tabs>
        <w:spacing w:line="480" w:lineRule="auto"/>
        <w:ind w:left="720" w:hanging="720"/>
        <w:contextualSpacing/>
        <w:rPr>
          <w:sz w:val="24"/>
          <w:szCs w:val="24"/>
        </w:rPr>
      </w:pPr>
      <w:r w:rsidRPr="00DA1BE5">
        <w:rPr>
          <w:sz w:val="24"/>
          <w:szCs w:val="24"/>
        </w:rPr>
        <w:t>Clair, St. William.</w:t>
      </w:r>
      <w:r w:rsidR="00BB4E85" w:rsidRPr="00DA1BE5">
        <w:rPr>
          <w:sz w:val="24"/>
          <w:szCs w:val="24"/>
        </w:rPr>
        <w:t xml:space="preserve"> </w:t>
      </w:r>
      <w:proofErr w:type="gramStart"/>
      <w:r w:rsidR="00BB4E85" w:rsidRPr="00DA1BE5">
        <w:rPr>
          <w:i/>
          <w:sz w:val="24"/>
          <w:szCs w:val="24"/>
        </w:rPr>
        <w:t>Lord Elgin and the Marbles</w:t>
      </w:r>
      <w:r w:rsidR="00BB4E85" w:rsidRPr="00DA1BE5">
        <w:rPr>
          <w:sz w:val="24"/>
          <w:szCs w:val="24"/>
        </w:rPr>
        <w:t>.</w:t>
      </w:r>
      <w:proofErr w:type="gramEnd"/>
      <w:r w:rsidR="00BB4E85" w:rsidRPr="00DA1BE5">
        <w:rPr>
          <w:sz w:val="24"/>
          <w:szCs w:val="24"/>
        </w:rPr>
        <w:t xml:space="preserve"> Oxford: Oxford UP, 1998.</w:t>
      </w:r>
    </w:p>
    <w:p w:rsidR="00BB4E85" w:rsidRPr="00DA1BE5" w:rsidRDefault="00DA1BE5" w:rsidP="00DA1BE5">
      <w:pPr>
        <w:tabs>
          <w:tab w:val="left" w:pos="810"/>
          <w:tab w:val="left" w:pos="6780"/>
        </w:tabs>
        <w:spacing w:line="480" w:lineRule="auto"/>
        <w:ind w:left="720" w:hanging="720"/>
        <w:contextualSpacing/>
        <w:rPr>
          <w:sz w:val="24"/>
          <w:szCs w:val="24"/>
        </w:rPr>
      </w:pPr>
      <w:proofErr w:type="gramStart"/>
      <w:r w:rsidRPr="00DA1BE5">
        <w:rPr>
          <w:sz w:val="24"/>
          <w:szCs w:val="24"/>
        </w:rPr>
        <w:t>Clayton, W. W.</w:t>
      </w:r>
      <w:r w:rsidR="00BB4E85" w:rsidRPr="00DA1BE5">
        <w:rPr>
          <w:sz w:val="24"/>
          <w:szCs w:val="24"/>
        </w:rPr>
        <w:t xml:space="preserve"> </w:t>
      </w:r>
      <w:r w:rsidR="00BB4E85" w:rsidRPr="00DA1BE5">
        <w:rPr>
          <w:i/>
          <w:sz w:val="24"/>
          <w:szCs w:val="24"/>
        </w:rPr>
        <w:t>History of Davidson County, Tennessee with Illustrations and Biographical Sketches of its Prominent Men and Pioneers.</w:t>
      </w:r>
      <w:proofErr w:type="gramEnd"/>
      <w:r w:rsidR="00BB4E85" w:rsidRPr="00DA1BE5">
        <w:rPr>
          <w:sz w:val="24"/>
          <w:szCs w:val="24"/>
        </w:rPr>
        <w:t xml:space="preserve"> Nashville: Tennessee Historical Society, 1880. </w:t>
      </w:r>
    </w:p>
    <w:p w:rsidR="00BB4E85" w:rsidRPr="00DA1BE5" w:rsidRDefault="00DA1BE5" w:rsidP="00DA1BE5">
      <w:pPr>
        <w:pStyle w:val="FootnoteText"/>
        <w:tabs>
          <w:tab w:val="left" w:pos="810"/>
        </w:tabs>
        <w:spacing w:line="480" w:lineRule="auto"/>
        <w:ind w:left="720" w:hanging="720"/>
        <w:contextualSpacing/>
        <w:rPr>
          <w:sz w:val="24"/>
          <w:szCs w:val="24"/>
        </w:rPr>
      </w:pPr>
      <w:r w:rsidRPr="00DA1BE5">
        <w:rPr>
          <w:sz w:val="24"/>
          <w:szCs w:val="24"/>
        </w:rPr>
        <w:t>Connelly, Joan Breton.</w:t>
      </w:r>
      <w:r w:rsidR="00BB4E85" w:rsidRPr="00DA1BE5">
        <w:rPr>
          <w:sz w:val="24"/>
          <w:szCs w:val="24"/>
        </w:rPr>
        <w:t xml:space="preserve"> </w:t>
      </w:r>
      <w:proofErr w:type="gramStart"/>
      <w:r w:rsidR="00BB4E85" w:rsidRPr="00DA1BE5">
        <w:rPr>
          <w:i/>
          <w:sz w:val="24"/>
          <w:szCs w:val="24"/>
        </w:rPr>
        <w:t>The Parthenon Enigma</w:t>
      </w:r>
      <w:r w:rsidR="00BB4E85" w:rsidRPr="00DA1BE5">
        <w:rPr>
          <w:sz w:val="24"/>
          <w:szCs w:val="24"/>
        </w:rPr>
        <w:t>.</w:t>
      </w:r>
      <w:proofErr w:type="gramEnd"/>
      <w:r w:rsidR="00BB4E85" w:rsidRPr="00DA1BE5">
        <w:rPr>
          <w:sz w:val="24"/>
          <w:szCs w:val="24"/>
        </w:rPr>
        <w:t xml:space="preserve"> New York: Alfred A. Knopf, 2014.</w:t>
      </w:r>
    </w:p>
    <w:p w:rsidR="00BB4E85" w:rsidRPr="00DA1BE5" w:rsidRDefault="00DA1BE5" w:rsidP="00DA1BE5">
      <w:pPr>
        <w:tabs>
          <w:tab w:val="left" w:pos="810"/>
          <w:tab w:val="left" w:pos="6780"/>
        </w:tabs>
        <w:spacing w:line="480" w:lineRule="auto"/>
        <w:ind w:left="720" w:hanging="720"/>
        <w:contextualSpacing/>
        <w:rPr>
          <w:sz w:val="24"/>
          <w:szCs w:val="24"/>
        </w:rPr>
      </w:pPr>
      <w:proofErr w:type="spellStart"/>
      <w:r>
        <w:rPr>
          <w:sz w:val="24"/>
          <w:szCs w:val="24"/>
        </w:rPr>
        <w:lastRenderedPageBreak/>
        <w:t>Crabb</w:t>
      </w:r>
      <w:proofErr w:type="spellEnd"/>
      <w:r>
        <w:rPr>
          <w:sz w:val="24"/>
          <w:szCs w:val="24"/>
        </w:rPr>
        <w:t>, Alfred Leland.</w:t>
      </w:r>
      <w:r w:rsidR="00BB4E85" w:rsidRPr="00DA1BE5">
        <w:rPr>
          <w:sz w:val="24"/>
          <w:szCs w:val="24"/>
        </w:rPr>
        <w:t xml:space="preserve"> </w:t>
      </w:r>
      <w:proofErr w:type="gramStart"/>
      <w:r w:rsidR="00BB4E85" w:rsidRPr="00DA1BE5">
        <w:rPr>
          <w:i/>
          <w:sz w:val="24"/>
          <w:szCs w:val="24"/>
        </w:rPr>
        <w:t>Nashville: Personality of a City</w:t>
      </w:r>
      <w:r w:rsidR="00BB4E85" w:rsidRPr="00DA1BE5">
        <w:rPr>
          <w:sz w:val="24"/>
          <w:szCs w:val="24"/>
        </w:rPr>
        <w:t>.</w:t>
      </w:r>
      <w:proofErr w:type="gramEnd"/>
      <w:r w:rsidR="00BB4E85" w:rsidRPr="00DA1BE5">
        <w:rPr>
          <w:sz w:val="24"/>
          <w:szCs w:val="24"/>
        </w:rPr>
        <w:t xml:space="preserve"> New York: </w:t>
      </w:r>
      <w:proofErr w:type="spellStart"/>
      <w:r w:rsidR="00BB4E85" w:rsidRPr="00DA1BE5">
        <w:rPr>
          <w:sz w:val="24"/>
          <w:szCs w:val="24"/>
        </w:rPr>
        <w:t>Bobbs</w:t>
      </w:r>
      <w:proofErr w:type="spellEnd"/>
      <w:r w:rsidR="00BB4E85" w:rsidRPr="00DA1BE5">
        <w:rPr>
          <w:sz w:val="24"/>
          <w:szCs w:val="24"/>
        </w:rPr>
        <w:t>-Merrill, 1960.</w:t>
      </w:r>
    </w:p>
    <w:p w:rsidR="00BB4E85" w:rsidRPr="00DA1BE5" w:rsidRDefault="00DA1BE5" w:rsidP="00DA1BE5">
      <w:pPr>
        <w:tabs>
          <w:tab w:val="left" w:pos="810"/>
          <w:tab w:val="left" w:pos="6780"/>
        </w:tabs>
        <w:spacing w:line="480" w:lineRule="auto"/>
        <w:ind w:left="720" w:hanging="720"/>
        <w:contextualSpacing/>
        <w:rPr>
          <w:sz w:val="24"/>
          <w:szCs w:val="24"/>
        </w:rPr>
      </w:pPr>
      <w:r>
        <w:rPr>
          <w:sz w:val="24"/>
          <w:szCs w:val="24"/>
        </w:rPr>
        <w:t>Craig, Lois A.</w:t>
      </w:r>
      <w:r w:rsidR="00BB4E85" w:rsidRPr="00DA1BE5">
        <w:rPr>
          <w:sz w:val="24"/>
          <w:szCs w:val="24"/>
        </w:rPr>
        <w:t xml:space="preserve"> </w:t>
      </w:r>
      <w:proofErr w:type="gramStart"/>
      <w:r w:rsidR="00BB4E85" w:rsidRPr="00DA1BE5">
        <w:rPr>
          <w:i/>
          <w:sz w:val="24"/>
          <w:szCs w:val="24"/>
        </w:rPr>
        <w:t>The</w:t>
      </w:r>
      <w:proofErr w:type="gramEnd"/>
      <w:r w:rsidR="00BB4E85" w:rsidRPr="00DA1BE5">
        <w:rPr>
          <w:i/>
          <w:sz w:val="24"/>
          <w:szCs w:val="24"/>
        </w:rPr>
        <w:t xml:space="preserve"> Federal Presence: Architecture, Politics, and Symbols</w:t>
      </w:r>
      <w:r w:rsidR="00BB4E85" w:rsidRPr="00DA1BE5">
        <w:rPr>
          <w:sz w:val="24"/>
          <w:szCs w:val="24"/>
        </w:rPr>
        <w:t>. Cambridge: Massachusetts Institute of Technology P, 1978.</w:t>
      </w:r>
    </w:p>
    <w:p w:rsidR="00BB4E85" w:rsidRPr="00DA1BE5" w:rsidRDefault="00DA1BE5" w:rsidP="00DA1BE5">
      <w:pPr>
        <w:tabs>
          <w:tab w:val="left" w:pos="810"/>
        </w:tabs>
        <w:spacing w:line="480" w:lineRule="auto"/>
        <w:ind w:left="720" w:hanging="720"/>
        <w:contextualSpacing/>
        <w:rPr>
          <w:sz w:val="24"/>
          <w:szCs w:val="24"/>
        </w:rPr>
      </w:pPr>
      <w:r>
        <w:rPr>
          <w:sz w:val="24"/>
          <w:szCs w:val="24"/>
        </w:rPr>
        <w:t>Creighton, Wilbur Foster.</w:t>
      </w:r>
      <w:r w:rsidR="00BB4E85" w:rsidRPr="00DA1BE5">
        <w:rPr>
          <w:sz w:val="24"/>
          <w:szCs w:val="24"/>
        </w:rPr>
        <w:t xml:space="preserve"> </w:t>
      </w:r>
      <w:r w:rsidR="00BB4E85" w:rsidRPr="00DA1BE5">
        <w:rPr>
          <w:i/>
          <w:sz w:val="24"/>
          <w:szCs w:val="24"/>
        </w:rPr>
        <w:t>Building of Nashville</w:t>
      </w:r>
      <w:r w:rsidR="00BB4E85" w:rsidRPr="00DA1BE5">
        <w:rPr>
          <w:sz w:val="24"/>
          <w:szCs w:val="24"/>
        </w:rPr>
        <w:t xml:space="preserve">. Nashville: Wilbur Foster Creighton, 1969. </w:t>
      </w:r>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t>Creighton, Wilbur Foster</w:t>
      </w:r>
      <w:r w:rsidR="00DA1BE5">
        <w:rPr>
          <w:sz w:val="24"/>
          <w:szCs w:val="24"/>
        </w:rPr>
        <w:t>.</w:t>
      </w:r>
      <w:r w:rsidRPr="00DA1BE5">
        <w:rPr>
          <w:sz w:val="24"/>
          <w:szCs w:val="24"/>
        </w:rPr>
        <w:t xml:space="preserve"> </w:t>
      </w:r>
      <w:proofErr w:type="gramStart"/>
      <w:r w:rsidRPr="00DA1BE5">
        <w:rPr>
          <w:i/>
          <w:sz w:val="24"/>
          <w:szCs w:val="24"/>
        </w:rPr>
        <w:t>The Parthenon in Nashville</w:t>
      </w:r>
      <w:r w:rsidRPr="00DA1BE5">
        <w:rPr>
          <w:sz w:val="24"/>
          <w:szCs w:val="24"/>
        </w:rPr>
        <w:t>.</w:t>
      </w:r>
      <w:proofErr w:type="gramEnd"/>
      <w:r w:rsidRPr="00DA1BE5">
        <w:rPr>
          <w:sz w:val="24"/>
          <w:szCs w:val="24"/>
        </w:rPr>
        <w:t xml:space="preserve"> Nashville: Wilbur Foster Creighton, 1968.</w:t>
      </w:r>
    </w:p>
    <w:p w:rsidR="00BB4E85" w:rsidRPr="00DA1BE5" w:rsidRDefault="00DA1BE5" w:rsidP="00DA1BE5">
      <w:pPr>
        <w:pStyle w:val="FootnoteText"/>
        <w:tabs>
          <w:tab w:val="left" w:pos="810"/>
        </w:tabs>
        <w:spacing w:line="480" w:lineRule="auto"/>
        <w:ind w:left="720" w:hanging="720"/>
        <w:contextualSpacing/>
        <w:rPr>
          <w:sz w:val="24"/>
          <w:szCs w:val="24"/>
        </w:rPr>
      </w:pPr>
      <w:proofErr w:type="gramStart"/>
      <w:r>
        <w:rPr>
          <w:sz w:val="24"/>
          <w:szCs w:val="24"/>
        </w:rPr>
        <w:t>Crew, H.W.</w:t>
      </w:r>
      <w:proofErr w:type="gramEnd"/>
      <w:r w:rsidR="00BB4E85" w:rsidRPr="00DA1BE5">
        <w:rPr>
          <w:sz w:val="24"/>
          <w:szCs w:val="24"/>
        </w:rPr>
        <w:t xml:space="preserve"> </w:t>
      </w:r>
      <w:proofErr w:type="gramStart"/>
      <w:r w:rsidR="00BB4E85" w:rsidRPr="004F18CF">
        <w:rPr>
          <w:i/>
          <w:sz w:val="24"/>
          <w:szCs w:val="24"/>
        </w:rPr>
        <w:t>The History of Nashville Tennessee</w:t>
      </w:r>
      <w:r w:rsidR="00BB4E85" w:rsidRPr="00DA1BE5">
        <w:rPr>
          <w:sz w:val="24"/>
          <w:szCs w:val="24"/>
        </w:rPr>
        <w:t>.</w:t>
      </w:r>
      <w:proofErr w:type="gramEnd"/>
      <w:r w:rsidR="00BB4E85" w:rsidRPr="00DA1BE5">
        <w:rPr>
          <w:sz w:val="24"/>
          <w:szCs w:val="24"/>
        </w:rPr>
        <w:t xml:space="preserve"> </w:t>
      </w:r>
      <w:proofErr w:type="gramStart"/>
      <w:r w:rsidR="00BB4E85" w:rsidRPr="00DA1BE5">
        <w:rPr>
          <w:sz w:val="24"/>
          <w:szCs w:val="24"/>
        </w:rPr>
        <w:t>Nashville: Publishing House of the Methodist Episcopal Church, South, Barbee &amp; Smith, 1890.</w:t>
      </w:r>
      <w:proofErr w:type="gramEnd"/>
      <w:r w:rsidR="00BB4E85" w:rsidRPr="00DA1BE5">
        <w:rPr>
          <w:sz w:val="24"/>
          <w:szCs w:val="24"/>
        </w:rPr>
        <w:t xml:space="preserve"> </w:t>
      </w:r>
    </w:p>
    <w:p w:rsidR="00BB4E85" w:rsidRPr="00DA1BE5" w:rsidRDefault="00DA1BE5" w:rsidP="00DA1BE5">
      <w:pPr>
        <w:pStyle w:val="FootnoteText"/>
        <w:tabs>
          <w:tab w:val="left" w:pos="810"/>
        </w:tabs>
        <w:spacing w:line="480" w:lineRule="auto"/>
        <w:ind w:left="720" w:hanging="720"/>
        <w:contextualSpacing/>
        <w:rPr>
          <w:sz w:val="24"/>
          <w:szCs w:val="24"/>
        </w:rPr>
      </w:pPr>
      <w:r>
        <w:rPr>
          <w:sz w:val="24"/>
          <w:szCs w:val="24"/>
        </w:rPr>
        <w:t>Davis, Louise.</w:t>
      </w:r>
      <w:r w:rsidR="00BB4E85" w:rsidRPr="00DA1BE5">
        <w:rPr>
          <w:sz w:val="24"/>
          <w:szCs w:val="24"/>
        </w:rPr>
        <w:t xml:space="preserve"> “Advocate of Parthenon knew it’d be it,” </w:t>
      </w:r>
      <w:r w:rsidR="00BB4E85" w:rsidRPr="00DA1BE5">
        <w:rPr>
          <w:i/>
          <w:sz w:val="24"/>
          <w:szCs w:val="24"/>
        </w:rPr>
        <w:t>Tennessean</w:t>
      </w:r>
      <w:r w:rsidR="00BB4E85" w:rsidRPr="00DA1BE5">
        <w:rPr>
          <w:sz w:val="24"/>
          <w:szCs w:val="24"/>
        </w:rPr>
        <w:t>, September 26, 1988.</w:t>
      </w:r>
    </w:p>
    <w:p w:rsidR="00BB4E85" w:rsidRPr="00DA1BE5" w:rsidRDefault="00DA1BE5" w:rsidP="00DA1BE5">
      <w:pPr>
        <w:tabs>
          <w:tab w:val="left" w:pos="810"/>
          <w:tab w:val="left" w:pos="6780"/>
        </w:tabs>
        <w:spacing w:line="480" w:lineRule="auto"/>
        <w:ind w:left="720" w:hanging="720"/>
        <w:contextualSpacing/>
        <w:rPr>
          <w:sz w:val="24"/>
          <w:szCs w:val="24"/>
        </w:rPr>
      </w:pPr>
      <w:r>
        <w:rPr>
          <w:sz w:val="24"/>
          <w:szCs w:val="24"/>
        </w:rPr>
        <w:t>Davis, Louise.</w:t>
      </w:r>
      <w:r w:rsidR="00BB4E85" w:rsidRPr="00DA1BE5">
        <w:rPr>
          <w:sz w:val="24"/>
          <w:szCs w:val="24"/>
        </w:rPr>
        <w:t xml:space="preserve"> “Nashville Called ‘Athens of South’ Before Parthenon,” </w:t>
      </w:r>
      <w:r w:rsidR="00BB4E85" w:rsidRPr="00DA1BE5">
        <w:rPr>
          <w:i/>
          <w:sz w:val="24"/>
          <w:szCs w:val="24"/>
        </w:rPr>
        <w:t>Tennessean</w:t>
      </w:r>
      <w:r w:rsidR="00BB4E85" w:rsidRPr="00DA1BE5">
        <w:rPr>
          <w:sz w:val="24"/>
          <w:szCs w:val="24"/>
        </w:rPr>
        <w:t>, Dec. 30 1967.</w:t>
      </w:r>
    </w:p>
    <w:p w:rsidR="00BB4E85" w:rsidRPr="00DA1BE5" w:rsidRDefault="00DA1BE5" w:rsidP="00DA1BE5">
      <w:pPr>
        <w:tabs>
          <w:tab w:val="left" w:pos="810"/>
          <w:tab w:val="left" w:pos="6780"/>
        </w:tabs>
        <w:spacing w:line="480" w:lineRule="auto"/>
        <w:ind w:left="720" w:hanging="720"/>
        <w:contextualSpacing/>
        <w:rPr>
          <w:sz w:val="24"/>
          <w:szCs w:val="24"/>
        </w:rPr>
      </w:pPr>
      <w:r>
        <w:rPr>
          <w:sz w:val="24"/>
          <w:szCs w:val="24"/>
        </w:rPr>
        <w:t>Davis, Louise.</w:t>
      </w:r>
      <w:r w:rsidR="00BB4E85" w:rsidRPr="00DA1BE5">
        <w:rPr>
          <w:sz w:val="24"/>
          <w:szCs w:val="24"/>
        </w:rPr>
        <w:t xml:space="preserve"> “The Parthenon and the Tennessee Centennial: The Greek Temple That Sparked a Birthday Party.” </w:t>
      </w:r>
      <w:r w:rsidR="00BB4E85" w:rsidRPr="00DA1BE5">
        <w:rPr>
          <w:i/>
          <w:sz w:val="24"/>
          <w:szCs w:val="24"/>
        </w:rPr>
        <w:t>Tennessee Historical Quarterly</w:t>
      </w:r>
      <w:r w:rsidR="00BB4E85" w:rsidRPr="00DA1BE5">
        <w:rPr>
          <w:sz w:val="24"/>
          <w:szCs w:val="24"/>
        </w:rPr>
        <w:t xml:space="preserve"> 26, no. 4 (1967): 335-353. </w:t>
      </w:r>
    </w:p>
    <w:p w:rsidR="00BB4E85" w:rsidRPr="00DA1BE5" w:rsidRDefault="00BB4E85" w:rsidP="00DA1BE5">
      <w:pPr>
        <w:tabs>
          <w:tab w:val="left" w:pos="810"/>
          <w:tab w:val="left" w:pos="6780"/>
        </w:tabs>
        <w:spacing w:line="480" w:lineRule="auto"/>
        <w:ind w:left="720" w:hanging="720"/>
        <w:contextualSpacing/>
        <w:rPr>
          <w:sz w:val="24"/>
          <w:szCs w:val="24"/>
        </w:rPr>
      </w:pPr>
      <w:r w:rsidRPr="00DA1BE5">
        <w:rPr>
          <w:sz w:val="24"/>
          <w:szCs w:val="24"/>
        </w:rPr>
        <w:t>Davis, Loui</w:t>
      </w:r>
      <w:r w:rsidR="00DA1BE5">
        <w:rPr>
          <w:sz w:val="24"/>
          <w:szCs w:val="24"/>
        </w:rPr>
        <w:t>se.</w:t>
      </w:r>
      <w:r w:rsidRPr="00DA1BE5">
        <w:rPr>
          <w:sz w:val="24"/>
          <w:szCs w:val="24"/>
        </w:rPr>
        <w:t xml:space="preserve"> </w:t>
      </w:r>
      <w:proofErr w:type="gramStart"/>
      <w:r w:rsidRPr="00DA1BE5">
        <w:rPr>
          <w:i/>
          <w:sz w:val="24"/>
          <w:szCs w:val="24"/>
        </w:rPr>
        <w:t>Nashville Tales</w:t>
      </w:r>
      <w:r w:rsidRPr="00DA1BE5">
        <w:rPr>
          <w:sz w:val="24"/>
          <w:szCs w:val="24"/>
        </w:rPr>
        <w:t>.</w:t>
      </w:r>
      <w:proofErr w:type="gramEnd"/>
      <w:r w:rsidRPr="00DA1BE5">
        <w:rPr>
          <w:sz w:val="24"/>
          <w:szCs w:val="24"/>
        </w:rPr>
        <w:t xml:space="preserve"> Gretna: Pelican Publishing Co., 1981.</w:t>
      </w:r>
    </w:p>
    <w:p w:rsidR="00BB4E85" w:rsidRPr="00DA1BE5" w:rsidRDefault="00DA1BE5" w:rsidP="00DA1BE5">
      <w:pPr>
        <w:tabs>
          <w:tab w:val="left" w:pos="810"/>
          <w:tab w:val="left" w:pos="6780"/>
        </w:tabs>
        <w:spacing w:line="480" w:lineRule="auto"/>
        <w:ind w:left="720" w:hanging="720"/>
        <w:contextualSpacing/>
        <w:rPr>
          <w:sz w:val="24"/>
          <w:szCs w:val="24"/>
        </w:rPr>
      </w:pPr>
      <w:r>
        <w:rPr>
          <w:sz w:val="24"/>
          <w:szCs w:val="24"/>
        </w:rPr>
        <w:t>Dinsmoor, William Bell.</w:t>
      </w:r>
      <w:r w:rsidR="00BB4E85" w:rsidRPr="00DA1BE5">
        <w:rPr>
          <w:sz w:val="24"/>
          <w:szCs w:val="24"/>
        </w:rPr>
        <w:t xml:space="preserve"> </w:t>
      </w:r>
      <w:r w:rsidR="00BB4E85" w:rsidRPr="00DA1BE5">
        <w:rPr>
          <w:i/>
          <w:sz w:val="24"/>
          <w:szCs w:val="24"/>
        </w:rPr>
        <w:t>The Architecture of Ancient Greece: An Account of its Historic Development</w:t>
      </w:r>
      <w:r w:rsidR="00BB4E85" w:rsidRPr="00DA1BE5">
        <w:rPr>
          <w:sz w:val="24"/>
          <w:szCs w:val="24"/>
        </w:rPr>
        <w:t>, 3</w:t>
      </w:r>
      <w:r w:rsidR="00BB4E85" w:rsidRPr="00DA1BE5">
        <w:rPr>
          <w:sz w:val="24"/>
          <w:szCs w:val="24"/>
          <w:vertAlign w:val="superscript"/>
        </w:rPr>
        <w:t>rd</w:t>
      </w:r>
      <w:r w:rsidR="00BB4E85" w:rsidRPr="00DA1BE5">
        <w:rPr>
          <w:sz w:val="24"/>
          <w:szCs w:val="24"/>
        </w:rPr>
        <w:t xml:space="preserve"> </w:t>
      </w:r>
      <w:proofErr w:type="gramStart"/>
      <w:r w:rsidR="00BB4E85" w:rsidRPr="00DA1BE5">
        <w:rPr>
          <w:sz w:val="24"/>
          <w:szCs w:val="24"/>
        </w:rPr>
        <w:t>ed</w:t>
      </w:r>
      <w:proofErr w:type="gramEnd"/>
      <w:r w:rsidR="00BB4E85" w:rsidRPr="00DA1BE5">
        <w:rPr>
          <w:sz w:val="24"/>
          <w:szCs w:val="24"/>
        </w:rPr>
        <w:t xml:space="preserve">. New York: W. W. Norton &amp; Co., 1975. </w:t>
      </w:r>
    </w:p>
    <w:p w:rsidR="00BB4E85" w:rsidRPr="00DA1BE5" w:rsidRDefault="00DA1BE5" w:rsidP="00DA1BE5">
      <w:pPr>
        <w:tabs>
          <w:tab w:val="left" w:pos="810"/>
          <w:tab w:val="left" w:pos="6780"/>
        </w:tabs>
        <w:spacing w:line="480" w:lineRule="auto"/>
        <w:ind w:left="720" w:hanging="720"/>
        <w:contextualSpacing/>
        <w:rPr>
          <w:sz w:val="24"/>
          <w:szCs w:val="24"/>
        </w:rPr>
      </w:pPr>
      <w:r>
        <w:rPr>
          <w:sz w:val="24"/>
          <w:szCs w:val="24"/>
        </w:rPr>
        <w:t>Egerton, John.</w:t>
      </w:r>
      <w:r w:rsidR="00BB4E85" w:rsidRPr="00DA1BE5">
        <w:rPr>
          <w:sz w:val="24"/>
          <w:szCs w:val="24"/>
        </w:rPr>
        <w:t xml:space="preserve"> </w:t>
      </w:r>
      <w:r w:rsidR="00BB4E85" w:rsidRPr="00DA1BE5">
        <w:rPr>
          <w:i/>
          <w:sz w:val="24"/>
          <w:szCs w:val="24"/>
        </w:rPr>
        <w:t>Nashville: The Faces of Two Centuries 1780-1980</w:t>
      </w:r>
      <w:r w:rsidR="00BB4E85" w:rsidRPr="00DA1BE5">
        <w:rPr>
          <w:sz w:val="24"/>
          <w:szCs w:val="24"/>
        </w:rPr>
        <w:t xml:space="preserve">. Nashville: </w:t>
      </w:r>
      <w:proofErr w:type="spellStart"/>
      <w:r w:rsidR="00BB4E85" w:rsidRPr="00DA1BE5">
        <w:rPr>
          <w:sz w:val="24"/>
          <w:szCs w:val="24"/>
        </w:rPr>
        <w:t>PlusMedia</w:t>
      </w:r>
      <w:proofErr w:type="spellEnd"/>
      <w:r w:rsidR="00BB4E85" w:rsidRPr="00DA1BE5">
        <w:rPr>
          <w:sz w:val="24"/>
          <w:szCs w:val="24"/>
        </w:rPr>
        <w:t xml:space="preserve"> </w:t>
      </w:r>
      <w:r w:rsidR="00A5274C" w:rsidRPr="00DA1BE5">
        <w:rPr>
          <w:sz w:val="24"/>
          <w:szCs w:val="24"/>
        </w:rPr>
        <w:t>Incorporated</w:t>
      </w:r>
      <w:r w:rsidR="00BB4E85" w:rsidRPr="00DA1BE5">
        <w:rPr>
          <w:sz w:val="24"/>
          <w:szCs w:val="24"/>
        </w:rPr>
        <w:t>, 1979.</w:t>
      </w:r>
    </w:p>
    <w:p w:rsidR="00BB4E85" w:rsidRPr="00DA1BE5" w:rsidRDefault="00DA1BE5" w:rsidP="00DA1BE5">
      <w:pPr>
        <w:tabs>
          <w:tab w:val="left" w:pos="810"/>
          <w:tab w:val="left" w:pos="6780"/>
        </w:tabs>
        <w:spacing w:line="480" w:lineRule="auto"/>
        <w:ind w:left="720" w:hanging="720"/>
        <w:contextualSpacing/>
        <w:rPr>
          <w:sz w:val="24"/>
          <w:szCs w:val="24"/>
        </w:rPr>
      </w:pPr>
      <w:proofErr w:type="spellStart"/>
      <w:r>
        <w:rPr>
          <w:sz w:val="24"/>
          <w:szCs w:val="24"/>
        </w:rPr>
        <w:t>Elderkin</w:t>
      </w:r>
      <w:proofErr w:type="spellEnd"/>
      <w:r>
        <w:rPr>
          <w:sz w:val="24"/>
          <w:szCs w:val="24"/>
        </w:rPr>
        <w:t>, G. W.</w:t>
      </w:r>
      <w:r w:rsidR="00BB4E85" w:rsidRPr="00DA1BE5">
        <w:rPr>
          <w:sz w:val="24"/>
          <w:szCs w:val="24"/>
        </w:rPr>
        <w:t xml:space="preserve"> </w:t>
      </w:r>
      <w:r w:rsidR="00BB4E85" w:rsidRPr="00DA1BE5">
        <w:rPr>
          <w:i/>
          <w:sz w:val="24"/>
          <w:szCs w:val="24"/>
        </w:rPr>
        <w:t xml:space="preserve">Problems in </w:t>
      </w:r>
      <w:proofErr w:type="spellStart"/>
      <w:r w:rsidR="00BB4E85" w:rsidRPr="00DA1BE5">
        <w:rPr>
          <w:i/>
          <w:sz w:val="24"/>
          <w:szCs w:val="24"/>
        </w:rPr>
        <w:t>Periclean</w:t>
      </w:r>
      <w:proofErr w:type="spellEnd"/>
      <w:r w:rsidR="00BB4E85" w:rsidRPr="00DA1BE5">
        <w:rPr>
          <w:i/>
          <w:sz w:val="24"/>
          <w:szCs w:val="24"/>
        </w:rPr>
        <w:t xml:space="preserve"> Buildings</w:t>
      </w:r>
      <w:r w:rsidR="00BB4E85" w:rsidRPr="00DA1BE5">
        <w:rPr>
          <w:sz w:val="24"/>
          <w:szCs w:val="24"/>
        </w:rPr>
        <w:t xml:space="preserve">. Washington, D. C.: McGrath Publishing Co., 1973. </w:t>
      </w:r>
    </w:p>
    <w:p w:rsidR="00BB4E85" w:rsidRPr="00DA1BE5" w:rsidRDefault="00DA1BE5" w:rsidP="00DA1BE5">
      <w:pPr>
        <w:tabs>
          <w:tab w:val="left" w:pos="810"/>
        </w:tabs>
        <w:spacing w:line="480" w:lineRule="auto"/>
        <w:ind w:left="720" w:hanging="720"/>
        <w:contextualSpacing/>
        <w:rPr>
          <w:sz w:val="24"/>
          <w:szCs w:val="24"/>
        </w:rPr>
      </w:pPr>
      <w:r>
        <w:rPr>
          <w:sz w:val="24"/>
          <w:szCs w:val="24"/>
        </w:rPr>
        <w:lastRenderedPageBreak/>
        <w:t>Foster, Wilbur F.</w:t>
      </w:r>
      <w:r w:rsidR="00BB4E85" w:rsidRPr="00DA1BE5">
        <w:rPr>
          <w:sz w:val="24"/>
          <w:szCs w:val="24"/>
        </w:rPr>
        <w:t xml:space="preserve"> </w:t>
      </w:r>
      <w:r w:rsidR="00BB4E85" w:rsidRPr="00DA1BE5">
        <w:rPr>
          <w:i/>
          <w:sz w:val="24"/>
          <w:szCs w:val="24"/>
        </w:rPr>
        <w:t>Map of the city of Nashville and vicinity</w:t>
      </w:r>
      <w:r w:rsidR="00BB4E85" w:rsidRPr="00DA1BE5">
        <w:rPr>
          <w:sz w:val="24"/>
          <w:szCs w:val="24"/>
        </w:rPr>
        <w:t>. [</w:t>
      </w:r>
      <w:proofErr w:type="spellStart"/>
      <w:r w:rsidR="00BB4E85" w:rsidRPr="00DA1BE5">
        <w:rPr>
          <w:sz w:val="24"/>
          <w:szCs w:val="24"/>
        </w:rPr>
        <w:t>S.l.</w:t>
      </w:r>
      <w:proofErr w:type="spellEnd"/>
      <w:r w:rsidR="00BB4E85" w:rsidRPr="00DA1BE5">
        <w:rPr>
          <w:sz w:val="24"/>
          <w:szCs w:val="24"/>
        </w:rPr>
        <w:t xml:space="preserve">: </w:t>
      </w:r>
      <w:proofErr w:type="spellStart"/>
      <w:r w:rsidR="00BB4E85" w:rsidRPr="00DA1BE5">
        <w:rPr>
          <w:sz w:val="24"/>
          <w:szCs w:val="24"/>
        </w:rPr>
        <w:t>s.n</w:t>
      </w:r>
      <w:proofErr w:type="spellEnd"/>
      <w:r w:rsidR="00BB4E85" w:rsidRPr="00DA1BE5">
        <w:rPr>
          <w:sz w:val="24"/>
          <w:szCs w:val="24"/>
        </w:rPr>
        <w:t xml:space="preserve">, 1877] </w:t>
      </w:r>
      <w:proofErr w:type="gramStart"/>
      <w:r w:rsidR="00BB4E85" w:rsidRPr="00DA1BE5">
        <w:rPr>
          <w:sz w:val="24"/>
          <w:szCs w:val="24"/>
        </w:rPr>
        <w:t>Map.</w:t>
      </w:r>
      <w:proofErr w:type="gramEnd"/>
      <w:r w:rsidR="00BB4E85" w:rsidRPr="00DA1BE5">
        <w:rPr>
          <w:sz w:val="24"/>
          <w:szCs w:val="24"/>
        </w:rPr>
        <w:t xml:space="preserve"> </w:t>
      </w:r>
      <w:proofErr w:type="gramStart"/>
      <w:r w:rsidR="00BB4E85" w:rsidRPr="00DA1BE5">
        <w:rPr>
          <w:sz w:val="24"/>
          <w:szCs w:val="24"/>
        </w:rPr>
        <w:t xml:space="preserve">Retrieved from the Library of Congress, </w:t>
      </w:r>
      <w:hyperlink r:id="rId43" w:history="1">
        <w:r w:rsidR="00BB4E85" w:rsidRPr="00DA1BE5">
          <w:rPr>
            <w:rStyle w:val="Hyperlink"/>
            <w:color w:val="0070C0"/>
            <w:sz w:val="24"/>
            <w:szCs w:val="24"/>
          </w:rPr>
          <w:t>https://www.loc.gov/item/2011590011/</w:t>
        </w:r>
      </w:hyperlink>
      <w:r w:rsidR="00BB4E85" w:rsidRPr="00DA1BE5">
        <w:rPr>
          <w:sz w:val="24"/>
          <w:szCs w:val="24"/>
        </w:rPr>
        <w:t>.</w:t>
      </w:r>
      <w:proofErr w:type="gramEnd"/>
    </w:p>
    <w:p w:rsidR="00BB4E85" w:rsidRPr="00DA1BE5" w:rsidRDefault="00DA1BE5" w:rsidP="00DA1BE5">
      <w:pPr>
        <w:pStyle w:val="FootnoteText"/>
        <w:tabs>
          <w:tab w:val="left" w:pos="810"/>
        </w:tabs>
        <w:spacing w:line="480" w:lineRule="auto"/>
        <w:ind w:left="720" w:hanging="720"/>
        <w:contextualSpacing/>
        <w:rPr>
          <w:sz w:val="24"/>
          <w:szCs w:val="24"/>
        </w:rPr>
      </w:pPr>
      <w:proofErr w:type="spellStart"/>
      <w:r>
        <w:rPr>
          <w:sz w:val="24"/>
          <w:szCs w:val="24"/>
        </w:rPr>
        <w:t>Gevinson</w:t>
      </w:r>
      <w:proofErr w:type="spellEnd"/>
      <w:r>
        <w:rPr>
          <w:sz w:val="24"/>
          <w:szCs w:val="24"/>
        </w:rPr>
        <w:t>, Alan.</w:t>
      </w:r>
      <w:r w:rsidR="00BB4E85" w:rsidRPr="00DA1BE5">
        <w:rPr>
          <w:sz w:val="24"/>
          <w:szCs w:val="24"/>
        </w:rPr>
        <w:t xml:space="preserve"> </w:t>
      </w:r>
      <w:proofErr w:type="gramStart"/>
      <w:r w:rsidR="00BB4E85" w:rsidRPr="00DA1BE5">
        <w:rPr>
          <w:sz w:val="24"/>
          <w:szCs w:val="24"/>
        </w:rPr>
        <w:t xml:space="preserve">“Broadcasting Longevity,” </w:t>
      </w:r>
      <w:r w:rsidR="00BB4E85" w:rsidRPr="00DA1BE5">
        <w:rPr>
          <w:i/>
          <w:sz w:val="24"/>
          <w:szCs w:val="24"/>
        </w:rPr>
        <w:t>Teaching History,</w:t>
      </w:r>
      <w:r w:rsidR="00BB4E85" w:rsidRPr="00DA1BE5">
        <w:rPr>
          <w:sz w:val="24"/>
          <w:szCs w:val="24"/>
        </w:rPr>
        <w:t xml:space="preserve"> 2016, </w:t>
      </w:r>
      <w:hyperlink r:id="rId44" w:history="1">
        <w:r w:rsidR="00BB4E85" w:rsidRPr="00DA1BE5">
          <w:rPr>
            <w:rStyle w:val="Hyperlink"/>
            <w:color w:val="0070C0"/>
            <w:sz w:val="24"/>
            <w:szCs w:val="24"/>
          </w:rPr>
          <w:t>http://www.teachinghistory.org/history-content/ask-a-historian/14557</w:t>
        </w:r>
      </w:hyperlink>
      <w:r w:rsidR="00BB4E85" w:rsidRPr="00DA1BE5">
        <w:rPr>
          <w:sz w:val="24"/>
          <w:szCs w:val="24"/>
        </w:rPr>
        <w:t>.</w:t>
      </w:r>
      <w:proofErr w:type="gramEnd"/>
      <w:r w:rsidR="00BB4E85" w:rsidRPr="00DA1BE5">
        <w:rPr>
          <w:sz w:val="24"/>
          <w:szCs w:val="24"/>
        </w:rPr>
        <w:t xml:space="preserve"> </w:t>
      </w:r>
    </w:p>
    <w:p w:rsidR="00BB4E85" w:rsidRPr="00DA1BE5" w:rsidRDefault="00DA1BE5" w:rsidP="00DA1BE5">
      <w:pPr>
        <w:tabs>
          <w:tab w:val="left" w:pos="810"/>
        </w:tabs>
        <w:spacing w:line="480" w:lineRule="auto"/>
        <w:ind w:left="720" w:hanging="720"/>
        <w:contextualSpacing/>
        <w:rPr>
          <w:sz w:val="24"/>
          <w:szCs w:val="24"/>
        </w:rPr>
      </w:pPr>
      <w:proofErr w:type="gramStart"/>
      <w:r>
        <w:rPr>
          <w:sz w:val="24"/>
          <w:szCs w:val="24"/>
        </w:rPr>
        <w:t>Google, Inc.</w:t>
      </w:r>
      <w:r w:rsidR="00BB4E85" w:rsidRPr="00DA1BE5">
        <w:rPr>
          <w:i/>
          <w:sz w:val="24"/>
          <w:szCs w:val="24"/>
        </w:rPr>
        <w:t xml:space="preserve"> “</w:t>
      </w:r>
      <w:r w:rsidR="00BB4E85" w:rsidRPr="00DA1BE5">
        <w:rPr>
          <w:sz w:val="24"/>
          <w:szCs w:val="24"/>
        </w:rPr>
        <w:t>Map of the Acropolis,” Google Maps, Inc. 2016.</w:t>
      </w:r>
      <w:proofErr w:type="gramEnd"/>
      <w:r w:rsidR="00BB4E85" w:rsidRPr="00DA1BE5">
        <w:rPr>
          <w:sz w:val="24"/>
          <w:szCs w:val="24"/>
        </w:rPr>
        <w:t xml:space="preserve"> </w:t>
      </w:r>
      <w:hyperlink r:id="rId45" w:history="1">
        <w:r w:rsidR="00BB4E85" w:rsidRPr="00DA1BE5">
          <w:rPr>
            <w:rStyle w:val="Hyperlink"/>
            <w:color w:val="0070C0"/>
            <w:sz w:val="24"/>
            <w:szCs w:val="24"/>
          </w:rPr>
          <w:t>https://www.google.com/maps/place/Acropolis+of+Athens/@37.9715968,23.7254827,356m/data=!3m1!1e3!4m5!3m4!1s0x14a1bd1837f5acf3:0x5c97c042f5eb0df6!8m2!3d37.9715323!4d23.7257492</w:t>
        </w:r>
      </w:hyperlink>
      <w:r w:rsidR="00BB4E85" w:rsidRPr="00DA1BE5">
        <w:rPr>
          <w:sz w:val="24"/>
          <w:szCs w:val="24"/>
        </w:rPr>
        <w:t>.</w:t>
      </w:r>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t>Graham</w:t>
      </w:r>
      <w:r w:rsidR="002778F6">
        <w:rPr>
          <w:sz w:val="24"/>
          <w:szCs w:val="24"/>
        </w:rPr>
        <w:t>, Eleanor, ed.</w:t>
      </w:r>
      <w:r w:rsidRPr="00DA1BE5">
        <w:rPr>
          <w:sz w:val="24"/>
          <w:szCs w:val="24"/>
        </w:rPr>
        <w:t xml:space="preserve"> </w:t>
      </w:r>
      <w:r w:rsidRPr="00DA1BE5">
        <w:rPr>
          <w:i/>
          <w:sz w:val="24"/>
          <w:szCs w:val="24"/>
        </w:rPr>
        <w:t>Nashville: A Short History and Selected Buildings</w:t>
      </w:r>
      <w:r w:rsidRPr="00DA1BE5">
        <w:rPr>
          <w:sz w:val="24"/>
          <w:szCs w:val="24"/>
        </w:rPr>
        <w:t xml:space="preserve">. </w:t>
      </w:r>
      <w:proofErr w:type="gramStart"/>
      <w:r w:rsidRPr="00DA1BE5">
        <w:rPr>
          <w:sz w:val="24"/>
          <w:szCs w:val="24"/>
        </w:rPr>
        <w:t>Nashville: Historical Commission of Metropolitan Nashville-Davidson County, Tennessee, 1974.</w:t>
      </w:r>
      <w:proofErr w:type="gramEnd"/>
      <w:r w:rsidRPr="00DA1BE5">
        <w:rPr>
          <w:sz w:val="24"/>
          <w:szCs w:val="24"/>
        </w:rPr>
        <w:t xml:space="preserve"> </w:t>
      </w:r>
    </w:p>
    <w:p w:rsidR="00BB4E85" w:rsidRPr="00DA1BE5" w:rsidRDefault="00BB4E85" w:rsidP="00DA1BE5">
      <w:pPr>
        <w:tabs>
          <w:tab w:val="left" w:pos="810"/>
        </w:tabs>
        <w:spacing w:line="480" w:lineRule="auto"/>
        <w:ind w:left="720" w:hanging="720"/>
        <w:contextualSpacing/>
        <w:rPr>
          <w:sz w:val="24"/>
          <w:szCs w:val="24"/>
        </w:rPr>
      </w:pPr>
      <w:proofErr w:type="gramStart"/>
      <w:r w:rsidRPr="00DA1BE5">
        <w:rPr>
          <w:sz w:val="24"/>
          <w:szCs w:val="24"/>
        </w:rPr>
        <w:t>Green, Peter and eds</w:t>
      </w:r>
      <w:r w:rsidR="002778F6">
        <w:rPr>
          <w:sz w:val="24"/>
          <w:szCs w:val="24"/>
        </w:rPr>
        <w:t>. of the Newsweek Book Division.</w:t>
      </w:r>
      <w:proofErr w:type="gramEnd"/>
      <w:r w:rsidR="002778F6">
        <w:rPr>
          <w:sz w:val="24"/>
          <w:szCs w:val="24"/>
        </w:rPr>
        <w:t xml:space="preserve"> </w:t>
      </w:r>
      <w:proofErr w:type="gramStart"/>
      <w:r w:rsidRPr="00DA1BE5">
        <w:rPr>
          <w:i/>
          <w:sz w:val="24"/>
          <w:szCs w:val="24"/>
        </w:rPr>
        <w:t>The Parthenon</w:t>
      </w:r>
      <w:r w:rsidRPr="00DA1BE5">
        <w:rPr>
          <w:sz w:val="24"/>
          <w:szCs w:val="24"/>
        </w:rPr>
        <w:t>.</w:t>
      </w:r>
      <w:proofErr w:type="gramEnd"/>
      <w:r w:rsidRPr="00DA1BE5">
        <w:rPr>
          <w:sz w:val="24"/>
          <w:szCs w:val="24"/>
        </w:rPr>
        <w:t xml:space="preserve"> New York: Newsweek, 1978. </w:t>
      </w:r>
    </w:p>
    <w:p w:rsidR="00BB4E85" w:rsidRPr="00DA1BE5" w:rsidRDefault="002778F6" w:rsidP="00DA1BE5">
      <w:pPr>
        <w:tabs>
          <w:tab w:val="left" w:pos="810"/>
        </w:tabs>
        <w:spacing w:line="480" w:lineRule="auto"/>
        <w:ind w:left="720" w:hanging="720"/>
        <w:contextualSpacing/>
        <w:rPr>
          <w:sz w:val="24"/>
          <w:szCs w:val="24"/>
        </w:rPr>
      </w:pPr>
      <w:r>
        <w:rPr>
          <w:sz w:val="24"/>
          <w:szCs w:val="24"/>
        </w:rPr>
        <w:t>Green, Peter.</w:t>
      </w:r>
      <w:r w:rsidR="00BB4E85" w:rsidRPr="00DA1BE5">
        <w:rPr>
          <w:sz w:val="24"/>
          <w:szCs w:val="24"/>
        </w:rPr>
        <w:t xml:space="preserve"> </w:t>
      </w:r>
      <w:proofErr w:type="gramStart"/>
      <w:r w:rsidR="00BB4E85" w:rsidRPr="00DA1BE5">
        <w:rPr>
          <w:i/>
          <w:sz w:val="24"/>
          <w:szCs w:val="24"/>
        </w:rPr>
        <w:t>The Shadow of the Parthenon</w:t>
      </w:r>
      <w:r w:rsidR="00BB4E85" w:rsidRPr="00DA1BE5">
        <w:rPr>
          <w:sz w:val="24"/>
          <w:szCs w:val="24"/>
        </w:rPr>
        <w:t>.</w:t>
      </w:r>
      <w:proofErr w:type="gramEnd"/>
      <w:r w:rsidR="00BB4E85" w:rsidRPr="00DA1BE5">
        <w:rPr>
          <w:sz w:val="24"/>
          <w:szCs w:val="24"/>
        </w:rPr>
        <w:t xml:space="preserve"> </w:t>
      </w:r>
      <w:proofErr w:type="gramStart"/>
      <w:r w:rsidR="00BB4E85" w:rsidRPr="00DA1BE5">
        <w:rPr>
          <w:sz w:val="24"/>
          <w:szCs w:val="24"/>
        </w:rPr>
        <w:t>Berkley and Los Angeles: U of California P, 1972.</w:t>
      </w:r>
      <w:proofErr w:type="gramEnd"/>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 xml:space="preserve">Hall, Allen </w:t>
      </w:r>
      <w:proofErr w:type="gramStart"/>
      <w:r w:rsidRPr="00DA1BE5">
        <w:rPr>
          <w:sz w:val="24"/>
          <w:szCs w:val="24"/>
        </w:rPr>
        <w:t>A.</w:t>
      </w:r>
      <w:proofErr w:type="gramEnd"/>
      <w:r w:rsidRPr="00DA1BE5">
        <w:rPr>
          <w:sz w:val="24"/>
          <w:szCs w:val="24"/>
        </w:rPr>
        <w:t xml:space="preserve"> and S. Nye</w:t>
      </w:r>
      <w:r w:rsidR="002778F6">
        <w:rPr>
          <w:sz w:val="24"/>
          <w:szCs w:val="24"/>
        </w:rPr>
        <w:t>.</w:t>
      </w:r>
      <w:r w:rsidRPr="00DA1BE5">
        <w:rPr>
          <w:sz w:val="24"/>
          <w:szCs w:val="24"/>
        </w:rPr>
        <w:t xml:space="preserve"> </w:t>
      </w:r>
      <w:proofErr w:type="gramStart"/>
      <w:r w:rsidRPr="00DA1BE5">
        <w:rPr>
          <w:i/>
          <w:sz w:val="24"/>
          <w:szCs w:val="24"/>
        </w:rPr>
        <w:t>The</w:t>
      </w:r>
      <w:proofErr w:type="gramEnd"/>
      <w:r w:rsidRPr="00DA1BE5">
        <w:rPr>
          <w:i/>
          <w:sz w:val="24"/>
          <w:szCs w:val="24"/>
        </w:rPr>
        <w:t xml:space="preserve"> Nashville Republican Banner</w:t>
      </w:r>
      <w:r w:rsidRPr="00DA1BE5">
        <w:rPr>
          <w:sz w:val="24"/>
          <w:szCs w:val="24"/>
        </w:rPr>
        <w:t xml:space="preserve">, March 12, 1839. </w:t>
      </w:r>
      <w:proofErr w:type="gramStart"/>
      <w:r w:rsidRPr="00DA1BE5">
        <w:rPr>
          <w:sz w:val="24"/>
          <w:szCs w:val="24"/>
        </w:rPr>
        <w:t>From Tennessee State Library and Archives.</w:t>
      </w:r>
      <w:proofErr w:type="gramEnd"/>
      <w:r w:rsidRPr="00DA1BE5">
        <w:rPr>
          <w:sz w:val="24"/>
          <w:szCs w:val="24"/>
        </w:rPr>
        <w:t xml:space="preserve"> </w:t>
      </w:r>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Halsey, Leroy J.</w:t>
      </w:r>
      <w:r w:rsidR="00BB4E85" w:rsidRPr="00DA1BE5">
        <w:rPr>
          <w:sz w:val="24"/>
          <w:szCs w:val="24"/>
        </w:rPr>
        <w:t xml:space="preserve"> </w:t>
      </w:r>
      <w:proofErr w:type="gramStart"/>
      <w:r w:rsidR="00BB4E85" w:rsidRPr="00DA1BE5">
        <w:rPr>
          <w:i/>
          <w:sz w:val="24"/>
          <w:szCs w:val="24"/>
        </w:rPr>
        <w:t xml:space="preserve">A Sketch of the Life and Educational Labors of Philip Lindsley, D.D. </w:t>
      </w:r>
      <w:r w:rsidR="00BB4E85" w:rsidRPr="00DA1BE5">
        <w:rPr>
          <w:sz w:val="24"/>
          <w:szCs w:val="24"/>
        </w:rPr>
        <w:t>Hartford: Williams, Wiley &amp; Turner 1859.</w:t>
      </w:r>
      <w:proofErr w:type="gramEnd"/>
      <w:r w:rsidR="00BB4E85" w:rsidRPr="00DA1BE5">
        <w:rPr>
          <w:sz w:val="24"/>
          <w:szCs w:val="24"/>
        </w:rPr>
        <w:t xml:space="preserve"> </w:t>
      </w:r>
      <w:proofErr w:type="gramStart"/>
      <w:r w:rsidR="00BB4E85" w:rsidRPr="00DA1BE5">
        <w:rPr>
          <w:sz w:val="24"/>
          <w:szCs w:val="24"/>
        </w:rPr>
        <w:t xml:space="preserve">Reprinted from </w:t>
      </w:r>
      <w:r w:rsidR="00BB4E85" w:rsidRPr="00DA1BE5">
        <w:rPr>
          <w:i/>
          <w:sz w:val="24"/>
          <w:szCs w:val="24"/>
        </w:rPr>
        <w:t>Barnard’s American Journal of Education</w:t>
      </w:r>
      <w:r w:rsidR="00BB4E85" w:rsidRPr="00DA1BE5">
        <w:rPr>
          <w:sz w:val="24"/>
          <w:szCs w:val="24"/>
        </w:rPr>
        <w:t xml:space="preserve"> September 1859.</w:t>
      </w:r>
      <w:proofErr w:type="gramEnd"/>
      <w:r w:rsidR="00BB4E85" w:rsidRPr="00DA1BE5">
        <w:rPr>
          <w:sz w:val="24"/>
          <w:szCs w:val="24"/>
        </w:rPr>
        <w:t xml:space="preserve"> </w:t>
      </w:r>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lastRenderedPageBreak/>
        <w:t>Harris, Colonel J. George.</w:t>
      </w:r>
      <w:r w:rsidR="00BB4E85" w:rsidRPr="00DA1BE5">
        <w:rPr>
          <w:sz w:val="24"/>
          <w:szCs w:val="24"/>
        </w:rPr>
        <w:t xml:space="preserve"> </w:t>
      </w:r>
      <w:r w:rsidR="00BB4E85" w:rsidRPr="00DA1BE5">
        <w:rPr>
          <w:i/>
          <w:sz w:val="24"/>
          <w:szCs w:val="24"/>
        </w:rPr>
        <w:t>The Nashville Union</w:t>
      </w:r>
      <w:r w:rsidR="00BB4E85" w:rsidRPr="00DA1BE5">
        <w:rPr>
          <w:sz w:val="24"/>
          <w:szCs w:val="24"/>
        </w:rPr>
        <w:t xml:space="preserve">, March 11, 1839. </w:t>
      </w:r>
      <w:proofErr w:type="gramStart"/>
      <w:r w:rsidR="00BB4E85" w:rsidRPr="00DA1BE5">
        <w:rPr>
          <w:sz w:val="24"/>
          <w:szCs w:val="24"/>
        </w:rPr>
        <w:t>From Tennessee State Library and Archives.</w:t>
      </w:r>
      <w:proofErr w:type="gramEnd"/>
      <w:r w:rsidR="00BB4E85" w:rsidRPr="00DA1BE5">
        <w:rPr>
          <w:sz w:val="24"/>
          <w:szCs w:val="24"/>
        </w:rPr>
        <w:t xml:space="preserve"> </w:t>
      </w:r>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 xml:space="preserve">John W. Thomas. </w:t>
      </w:r>
      <w:r w:rsidRPr="00DA1BE5">
        <w:rPr>
          <w:i/>
          <w:sz w:val="24"/>
          <w:szCs w:val="24"/>
        </w:rPr>
        <w:t>John Thomas to Ross-Meehan Foundry Co.</w:t>
      </w:r>
      <w:r w:rsidRPr="00DA1BE5">
        <w:rPr>
          <w:sz w:val="24"/>
          <w:szCs w:val="24"/>
        </w:rPr>
        <w:t xml:space="preserve">, </w:t>
      </w:r>
      <w:r w:rsidRPr="00DA1BE5">
        <w:rPr>
          <w:i/>
          <w:sz w:val="24"/>
          <w:szCs w:val="24"/>
        </w:rPr>
        <w:t>February 26, 1897</w:t>
      </w:r>
      <w:r w:rsidRPr="00DA1BE5">
        <w:rPr>
          <w:sz w:val="24"/>
          <w:szCs w:val="24"/>
        </w:rPr>
        <w:t xml:space="preserve">. </w:t>
      </w:r>
      <w:proofErr w:type="gramStart"/>
      <w:r w:rsidRPr="00DA1BE5">
        <w:rPr>
          <w:sz w:val="24"/>
          <w:szCs w:val="24"/>
        </w:rPr>
        <w:t>Letter.</w:t>
      </w:r>
      <w:proofErr w:type="gramEnd"/>
      <w:r w:rsidRPr="00DA1BE5">
        <w:rPr>
          <w:sz w:val="24"/>
          <w:szCs w:val="24"/>
        </w:rPr>
        <w:t xml:space="preserve"> </w:t>
      </w:r>
      <w:proofErr w:type="gramStart"/>
      <w:r w:rsidRPr="00DA1BE5">
        <w:rPr>
          <w:sz w:val="24"/>
          <w:szCs w:val="24"/>
        </w:rPr>
        <w:t xml:space="preserve">From Tennessee State Library and Archives, </w:t>
      </w:r>
      <w:r w:rsidRPr="00DA1BE5">
        <w:rPr>
          <w:i/>
          <w:sz w:val="24"/>
          <w:szCs w:val="24"/>
        </w:rPr>
        <w:t>Tennessee Centennial and International Exposition (1897) Collection 1895-1900</w:t>
      </w:r>
      <w:r w:rsidRPr="00DA1BE5">
        <w:rPr>
          <w:sz w:val="24"/>
          <w:szCs w:val="24"/>
        </w:rPr>
        <w:t>.</w:t>
      </w:r>
      <w:proofErr w:type="gramEnd"/>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Johnson, Leland R.</w:t>
      </w:r>
      <w:r w:rsidR="00BB4E85" w:rsidRPr="00DA1BE5">
        <w:rPr>
          <w:sz w:val="24"/>
          <w:szCs w:val="24"/>
        </w:rPr>
        <w:t xml:space="preserve"> </w:t>
      </w:r>
      <w:proofErr w:type="gramStart"/>
      <w:r w:rsidR="00BB4E85" w:rsidRPr="00DA1BE5">
        <w:rPr>
          <w:i/>
          <w:sz w:val="24"/>
          <w:szCs w:val="24"/>
        </w:rPr>
        <w:t>The</w:t>
      </w:r>
      <w:proofErr w:type="gramEnd"/>
      <w:r w:rsidR="00BB4E85" w:rsidRPr="00DA1BE5">
        <w:rPr>
          <w:i/>
          <w:sz w:val="24"/>
          <w:szCs w:val="24"/>
        </w:rPr>
        <w:t xml:space="preserve"> Parks of Nashville: A History of the Board of Parks and Recreation. </w:t>
      </w:r>
      <w:proofErr w:type="gramStart"/>
      <w:r w:rsidR="00BB4E85" w:rsidRPr="00DA1BE5">
        <w:rPr>
          <w:sz w:val="24"/>
          <w:szCs w:val="24"/>
        </w:rPr>
        <w:t>Nashville: Metropolitan Nashville and Davidson County Board of Parks and Recreation, 1986.</w:t>
      </w:r>
      <w:proofErr w:type="gramEnd"/>
      <w:r w:rsidR="00BB4E85" w:rsidRPr="00DA1BE5">
        <w:rPr>
          <w:sz w:val="24"/>
          <w:szCs w:val="24"/>
        </w:rPr>
        <w:t xml:space="preserve"> </w:t>
      </w:r>
    </w:p>
    <w:p w:rsidR="00BB4E85" w:rsidRPr="00DA1BE5" w:rsidRDefault="002778F6" w:rsidP="00DA1BE5">
      <w:pPr>
        <w:tabs>
          <w:tab w:val="left" w:pos="810"/>
        </w:tabs>
        <w:spacing w:line="480" w:lineRule="auto"/>
        <w:ind w:left="720" w:hanging="720"/>
        <w:contextualSpacing/>
        <w:rPr>
          <w:sz w:val="24"/>
          <w:szCs w:val="24"/>
        </w:rPr>
      </w:pPr>
      <w:proofErr w:type="spellStart"/>
      <w:r>
        <w:rPr>
          <w:sz w:val="24"/>
          <w:szCs w:val="24"/>
        </w:rPr>
        <w:t>Justi</w:t>
      </w:r>
      <w:proofErr w:type="spellEnd"/>
      <w:r>
        <w:rPr>
          <w:sz w:val="24"/>
          <w:szCs w:val="24"/>
        </w:rPr>
        <w:t xml:space="preserve">, Herman, </w:t>
      </w:r>
      <w:proofErr w:type="gramStart"/>
      <w:r>
        <w:rPr>
          <w:sz w:val="24"/>
          <w:szCs w:val="24"/>
        </w:rPr>
        <w:t>ed</w:t>
      </w:r>
      <w:proofErr w:type="gramEnd"/>
      <w:r>
        <w:rPr>
          <w:sz w:val="24"/>
          <w:szCs w:val="24"/>
        </w:rPr>
        <w:t>.</w:t>
      </w:r>
      <w:r w:rsidR="00BB4E85" w:rsidRPr="00DA1BE5">
        <w:rPr>
          <w:sz w:val="24"/>
          <w:szCs w:val="24"/>
        </w:rPr>
        <w:t xml:space="preserve"> </w:t>
      </w:r>
      <w:proofErr w:type="gramStart"/>
      <w:r w:rsidR="00BB4E85" w:rsidRPr="004F18CF">
        <w:rPr>
          <w:i/>
          <w:sz w:val="24"/>
          <w:szCs w:val="24"/>
        </w:rPr>
        <w:t>The Official History of the Tennessee Centennial Exposition</w:t>
      </w:r>
      <w:r w:rsidR="00BB4E85" w:rsidRPr="00DA1BE5">
        <w:rPr>
          <w:sz w:val="24"/>
          <w:szCs w:val="24"/>
        </w:rPr>
        <w:t>.</w:t>
      </w:r>
      <w:proofErr w:type="gramEnd"/>
      <w:r w:rsidR="00BB4E85" w:rsidRPr="00DA1BE5">
        <w:rPr>
          <w:sz w:val="24"/>
          <w:szCs w:val="24"/>
        </w:rPr>
        <w:t xml:space="preserve"> Nashville: Brandon Printing, 1898.</w:t>
      </w:r>
    </w:p>
    <w:p w:rsidR="00BB4E85" w:rsidRPr="00DA1BE5" w:rsidRDefault="002778F6" w:rsidP="00DA1BE5">
      <w:pPr>
        <w:tabs>
          <w:tab w:val="left" w:pos="810"/>
        </w:tabs>
        <w:spacing w:line="480" w:lineRule="auto"/>
        <w:ind w:left="720" w:hanging="720"/>
        <w:contextualSpacing/>
        <w:rPr>
          <w:sz w:val="24"/>
          <w:szCs w:val="24"/>
        </w:rPr>
      </w:pPr>
      <w:r>
        <w:rPr>
          <w:sz w:val="24"/>
          <w:szCs w:val="24"/>
        </w:rPr>
        <w:t>Korres, Manolis.</w:t>
      </w:r>
      <w:r w:rsidR="00BB4E85" w:rsidRPr="00DA1BE5">
        <w:rPr>
          <w:sz w:val="24"/>
          <w:szCs w:val="24"/>
        </w:rPr>
        <w:t xml:space="preserve"> </w:t>
      </w:r>
      <w:proofErr w:type="gramStart"/>
      <w:r w:rsidR="00BB4E85" w:rsidRPr="00DA1BE5">
        <w:rPr>
          <w:i/>
          <w:sz w:val="24"/>
          <w:szCs w:val="24"/>
        </w:rPr>
        <w:t>The Stones of the Parthenon</w:t>
      </w:r>
      <w:r w:rsidR="00BB4E85" w:rsidRPr="00DA1BE5">
        <w:rPr>
          <w:sz w:val="24"/>
          <w:szCs w:val="24"/>
        </w:rPr>
        <w:t>.</w:t>
      </w:r>
      <w:proofErr w:type="gramEnd"/>
      <w:r w:rsidR="00BB4E85" w:rsidRPr="00DA1BE5">
        <w:rPr>
          <w:sz w:val="24"/>
          <w:szCs w:val="24"/>
        </w:rPr>
        <w:t xml:space="preserve"> Los Angeles: J. Paul Getty Museum, 2000.</w:t>
      </w:r>
    </w:p>
    <w:p w:rsidR="00BB4E85" w:rsidRPr="00DA1BE5" w:rsidRDefault="00BB4E85" w:rsidP="00DA1BE5">
      <w:pPr>
        <w:tabs>
          <w:tab w:val="left" w:pos="810"/>
        </w:tabs>
        <w:spacing w:line="480" w:lineRule="auto"/>
        <w:ind w:left="720" w:hanging="720"/>
        <w:contextualSpacing/>
        <w:rPr>
          <w:sz w:val="24"/>
          <w:szCs w:val="24"/>
        </w:rPr>
      </w:pPr>
      <w:proofErr w:type="gramStart"/>
      <w:r w:rsidRPr="00DA1BE5">
        <w:rPr>
          <w:sz w:val="24"/>
          <w:szCs w:val="24"/>
        </w:rPr>
        <w:t>Kreyling, Christine, Wesley Paine, Charles W. Waterfield,</w:t>
      </w:r>
      <w:r w:rsidR="002778F6">
        <w:rPr>
          <w:sz w:val="24"/>
          <w:szCs w:val="24"/>
        </w:rPr>
        <w:t xml:space="preserve"> Jr., and Susan Ford Wiltshire.</w:t>
      </w:r>
      <w:proofErr w:type="gramEnd"/>
      <w:r w:rsidR="002778F6">
        <w:rPr>
          <w:sz w:val="24"/>
          <w:szCs w:val="24"/>
        </w:rPr>
        <w:t xml:space="preserve"> </w:t>
      </w:r>
      <w:proofErr w:type="gramStart"/>
      <w:r w:rsidRPr="00DA1BE5">
        <w:rPr>
          <w:i/>
          <w:sz w:val="24"/>
          <w:szCs w:val="24"/>
        </w:rPr>
        <w:t>Classical Nashville: Athens of the South</w:t>
      </w:r>
      <w:r w:rsidRPr="00DA1BE5">
        <w:rPr>
          <w:sz w:val="24"/>
          <w:szCs w:val="24"/>
        </w:rPr>
        <w:t>.</w:t>
      </w:r>
      <w:proofErr w:type="gramEnd"/>
      <w:r w:rsidRPr="00DA1BE5">
        <w:rPr>
          <w:sz w:val="24"/>
          <w:szCs w:val="24"/>
        </w:rPr>
        <w:t xml:space="preserve"> Nashville: Vanderbilt UP, 1996.</w:t>
      </w:r>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t>LeQu</w:t>
      </w:r>
      <w:r w:rsidR="002778F6">
        <w:rPr>
          <w:sz w:val="24"/>
          <w:szCs w:val="24"/>
        </w:rPr>
        <w:t>ire, Alan.</w:t>
      </w:r>
      <w:r w:rsidRPr="00DA1BE5">
        <w:rPr>
          <w:sz w:val="24"/>
          <w:szCs w:val="24"/>
        </w:rPr>
        <w:t xml:space="preserve"> “Athena Parthenos:</w:t>
      </w:r>
      <w:r w:rsidR="004F18CF">
        <w:rPr>
          <w:sz w:val="24"/>
          <w:szCs w:val="24"/>
        </w:rPr>
        <w:t xml:space="preserve"> The Re-creation in Nashville,” </w:t>
      </w:r>
      <w:r w:rsidRPr="00DA1BE5">
        <w:rPr>
          <w:i/>
          <w:sz w:val="24"/>
          <w:szCs w:val="24"/>
        </w:rPr>
        <w:t>Classical Nashville: Athens of the South</w:t>
      </w:r>
      <w:r w:rsidRPr="00DA1BE5">
        <w:rPr>
          <w:sz w:val="24"/>
          <w:szCs w:val="24"/>
        </w:rPr>
        <w:t>, Kreyling, Christine, Wesley Paine, Charles W. Waterfield, Jr., and Susan Ford Wiltshire. Nashville: Vanderbilt UP, 1996.</w:t>
      </w:r>
    </w:p>
    <w:p w:rsidR="00BB4E85" w:rsidRPr="00DA1BE5" w:rsidRDefault="002778F6" w:rsidP="00DA1BE5">
      <w:pPr>
        <w:tabs>
          <w:tab w:val="left" w:pos="810"/>
        </w:tabs>
        <w:spacing w:line="480" w:lineRule="auto"/>
        <w:ind w:left="720" w:hanging="720"/>
        <w:contextualSpacing/>
        <w:rPr>
          <w:sz w:val="24"/>
          <w:szCs w:val="24"/>
        </w:rPr>
      </w:pPr>
      <w:r>
        <w:rPr>
          <w:sz w:val="24"/>
          <w:szCs w:val="24"/>
        </w:rPr>
        <w:t>Lewis, E. C.</w:t>
      </w:r>
      <w:r w:rsidR="00FC293D" w:rsidRPr="00DA1BE5">
        <w:rPr>
          <w:sz w:val="24"/>
          <w:szCs w:val="24"/>
        </w:rPr>
        <w:t xml:space="preserve"> </w:t>
      </w:r>
      <w:r w:rsidR="00BB4E85" w:rsidRPr="00DA1BE5">
        <w:rPr>
          <w:i/>
          <w:sz w:val="24"/>
          <w:szCs w:val="24"/>
        </w:rPr>
        <w:t>E. C. Lewis to Maj. John W. Thomas, President. October 13, 1898</w:t>
      </w:r>
      <w:r w:rsidR="00BB4E85" w:rsidRPr="00DA1BE5">
        <w:rPr>
          <w:sz w:val="24"/>
          <w:szCs w:val="24"/>
        </w:rPr>
        <w:t xml:space="preserve">. </w:t>
      </w:r>
      <w:proofErr w:type="gramStart"/>
      <w:r w:rsidR="00BB4E85" w:rsidRPr="00DA1BE5">
        <w:rPr>
          <w:sz w:val="24"/>
          <w:szCs w:val="24"/>
        </w:rPr>
        <w:t>Letter.</w:t>
      </w:r>
      <w:proofErr w:type="gramEnd"/>
      <w:r w:rsidR="00BB4E85" w:rsidRPr="00DA1BE5">
        <w:rPr>
          <w:sz w:val="24"/>
          <w:szCs w:val="24"/>
        </w:rPr>
        <w:t xml:space="preserve"> </w:t>
      </w:r>
      <w:proofErr w:type="gramStart"/>
      <w:r w:rsidR="00BB4E85" w:rsidRPr="00DA1BE5">
        <w:rPr>
          <w:sz w:val="24"/>
          <w:szCs w:val="24"/>
        </w:rPr>
        <w:t xml:space="preserve">From Tennessee State Library and Archives, </w:t>
      </w:r>
      <w:r w:rsidR="00BB4E85" w:rsidRPr="00DA1BE5">
        <w:rPr>
          <w:i/>
          <w:sz w:val="24"/>
          <w:szCs w:val="24"/>
        </w:rPr>
        <w:t>Tennessee Centennial and International Exposition (1897) Collection 1895-1900.</w:t>
      </w:r>
      <w:proofErr w:type="gramEnd"/>
    </w:p>
    <w:p w:rsidR="00BB4E85" w:rsidRPr="00DA1BE5" w:rsidRDefault="00BB4E85" w:rsidP="00DA1BE5">
      <w:pPr>
        <w:pStyle w:val="Caption"/>
        <w:tabs>
          <w:tab w:val="left" w:pos="810"/>
        </w:tabs>
        <w:spacing w:line="480" w:lineRule="auto"/>
        <w:ind w:left="720" w:hanging="720"/>
        <w:contextualSpacing/>
        <w:rPr>
          <w:b w:val="0"/>
          <w:color w:val="auto"/>
          <w:sz w:val="24"/>
          <w:szCs w:val="24"/>
        </w:rPr>
      </w:pPr>
      <w:proofErr w:type="gramStart"/>
      <w:r w:rsidRPr="00DA1BE5">
        <w:rPr>
          <w:b w:val="0"/>
          <w:color w:val="auto"/>
          <w:sz w:val="24"/>
          <w:szCs w:val="24"/>
        </w:rPr>
        <w:t>Library of Congress.</w:t>
      </w:r>
      <w:proofErr w:type="gramEnd"/>
      <w:r w:rsidRPr="00DA1BE5">
        <w:rPr>
          <w:b w:val="0"/>
          <w:color w:val="auto"/>
          <w:sz w:val="24"/>
          <w:szCs w:val="24"/>
        </w:rPr>
        <w:t xml:space="preserve"> </w:t>
      </w:r>
      <w:proofErr w:type="gramStart"/>
      <w:r w:rsidRPr="00DA1BE5">
        <w:rPr>
          <w:b w:val="0"/>
          <w:i/>
          <w:color w:val="auto"/>
          <w:sz w:val="24"/>
          <w:szCs w:val="24"/>
        </w:rPr>
        <w:t>Tennessee Centennial Exposition, Nashville, Tennessee, 1897</w:t>
      </w:r>
      <w:r w:rsidRPr="00DA1BE5">
        <w:rPr>
          <w:b w:val="0"/>
          <w:color w:val="auto"/>
          <w:sz w:val="24"/>
          <w:szCs w:val="24"/>
        </w:rPr>
        <w:t>.</w:t>
      </w:r>
      <w:proofErr w:type="gramEnd"/>
      <w:r w:rsidRPr="00DA1BE5">
        <w:rPr>
          <w:b w:val="0"/>
          <w:color w:val="auto"/>
          <w:sz w:val="24"/>
          <w:szCs w:val="24"/>
        </w:rPr>
        <w:t xml:space="preserve"> [n.p, 1896] </w:t>
      </w:r>
      <w:proofErr w:type="gramStart"/>
      <w:r w:rsidRPr="00DA1BE5">
        <w:rPr>
          <w:b w:val="0"/>
          <w:color w:val="auto"/>
          <w:sz w:val="24"/>
          <w:szCs w:val="24"/>
        </w:rPr>
        <w:t>Map.</w:t>
      </w:r>
      <w:proofErr w:type="gramEnd"/>
      <w:r w:rsidRPr="00DA1BE5">
        <w:rPr>
          <w:b w:val="0"/>
          <w:color w:val="auto"/>
          <w:sz w:val="24"/>
          <w:szCs w:val="24"/>
        </w:rPr>
        <w:t xml:space="preserve"> </w:t>
      </w:r>
      <w:proofErr w:type="gramStart"/>
      <w:r w:rsidRPr="00DA1BE5">
        <w:rPr>
          <w:b w:val="0"/>
          <w:color w:val="auto"/>
          <w:sz w:val="24"/>
          <w:szCs w:val="24"/>
        </w:rPr>
        <w:t xml:space="preserve">Retrieved from the Library of Congress, </w:t>
      </w:r>
      <w:hyperlink r:id="rId46" w:history="1">
        <w:r w:rsidRPr="00DA1BE5">
          <w:rPr>
            <w:rStyle w:val="Hyperlink"/>
            <w:b w:val="0"/>
            <w:color w:val="0070C0"/>
            <w:sz w:val="24"/>
            <w:szCs w:val="24"/>
          </w:rPr>
          <w:t>https://www.loc.gov/item/77696328/</w:t>
        </w:r>
      </w:hyperlink>
      <w:r w:rsidRPr="00DA1BE5">
        <w:rPr>
          <w:b w:val="0"/>
          <w:color w:val="auto"/>
          <w:sz w:val="24"/>
          <w:szCs w:val="24"/>
        </w:rPr>
        <w:t>.</w:t>
      </w:r>
      <w:proofErr w:type="gramEnd"/>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lastRenderedPageBreak/>
        <w:t>Lloyd, Seton, Hans</w:t>
      </w:r>
      <w:r w:rsidR="002778F6">
        <w:rPr>
          <w:sz w:val="24"/>
          <w:szCs w:val="24"/>
        </w:rPr>
        <w:t xml:space="preserve"> Wolfgang Müller, Roland Martin.</w:t>
      </w:r>
      <w:r w:rsidRPr="00DA1BE5">
        <w:rPr>
          <w:sz w:val="24"/>
          <w:szCs w:val="24"/>
        </w:rPr>
        <w:t xml:space="preserve"> </w:t>
      </w:r>
      <w:proofErr w:type="gramStart"/>
      <w:r w:rsidRPr="00DA1BE5">
        <w:rPr>
          <w:i/>
          <w:sz w:val="24"/>
          <w:szCs w:val="24"/>
        </w:rPr>
        <w:t>Ancien</w:t>
      </w:r>
      <w:r w:rsidR="00FC293D" w:rsidRPr="00DA1BE5">
        <w:rPr>
          <w:i/>
          <w:sz w:val="24"/>
          <w:szCs w:val="24"/>
        </w:rPr>
        <w:t>t Architecture: Mesopotamia, Egy</w:t>
      </w:r>
      <w:r w:rsidRPr="00DA1BE5">
        <w:rPr>
          <w:i/>
          <w:sz w:val="24"/>
          <w:szCs w:val="24"/>
        </w:rPr>
        <w:t>pt, Crete, and Greece</w:t>
      </w:r>
      <w:r w:rsidRPr="00DA1BE5">
        <w:rPr>
          <w:sz w:val="24"/>
          <w:szCs w:val="24"/>
        </w:rPr>
        <w:t>.</w:t>
      </w:r>
      <w:proofErr w:type="gramEnd"/>
      <w:r w:rsidRPr="00DA1BE5">
        <w:rPr>
          <w:sz w:val="24"/>
          <w:szCs w:val="24"/>
        </w:rPr>
        <w:t xml:space="preserve"> New York: Harry N. Abrams, Inc., 1974. </w:t>
      </w:r>
    </w:p>
    <w:p w:rsidR="00BB4E85" w:rsidRPr="00DA1BE5" w:rsidRDefault="002778F6" w:rsidP="00DA1BE5">
      <w:pPr>
        <w:pStyle w:val="FootnoteText"/>
        <w:tabs>
          <w:tab w:val="left" w:pos="810"/>
        </w:tabs>
        <w:spacing w:line="480" w:lineRule="auto"/>
        <w:ind w:left="720" w:hanging="720"/>
        <w:contextualSpacing/>
        <w:rPr>
          <w:sz w:val="24"/>
          <w:szCs w:val="24"/>
        </w:rPr>
      </w:pPr>
      <w:proofErr w:type="spellStart"/>
      <w:r>
        <w:rPr>
          <w:sz w:val="24"/>
          <w:szCs w:val="24"/>
        </w:rPr>
        <w:t>McRaven</w:t>
      </w:r>
      <w:proofErr w:type="spellEnd"/>
      <w:r>
        <w:rPr>
          <w:sz w:val="24"/>
          <w:szCs w:val="24"/>
        </w:rPr>
        <w:t>, Henry.</w:t>
      </w:r>
      <w:r w:rsidR="00BB4E85" w:rsidRPr="00DA1BE5">
        <w:rPr>
          <w:sz w:val="24"/>
          <w:szCs w:val="24"/>
        </w:rPr>
        <w:t xml:space="preserve"> </w:t>
      </w:r>
      <w:proofErr w:type="gramStart"/>
      <w:r w:rsidR="00BB4E85" w:rsidRPr="00DA1BE5">
        <w:rPr>
          <w:i/>
          <w:sz w:val="24"/>
          <w:szCs w:val="24"/>
        </w:rPr>
        <w:t>Nashville: Athens of the South</w:t>
      </w:r>
      <w:r w:rsidR="00BB4E85" w:rsidRPr="00DA1BE5">
        <w:rPr>
          <w:sz w:val="24"/>
          <w:szCs w:val="24"/>
        </w:rPr>
        <w:t>.</w:t>
      </w:r>
      <w:proofErr w:type="gramEnd"/>
      <w:r w:rsidR="00BB4E85" w:rsidRPr="00DA1BE5">
        <w:rPr>
          <w:sz w:val="24"/>
          <w:szCs w:val="24"/>
        </w:rPr>
        <w:t xml:space="preserve"> Chapel Hill, N.C.: Scheer &amp; Jervis, 1949. </w:t>
      </w:r>
    </w:p>
    <w:p w:rsidR="00762C13" w:rsidRDefault="00BB4E85" w:rsidP="00762C13">
      <w:pPr>
        <w:tabs>
          <w:tab w:val="left" w:pos="810"/>
        </w:tabs>
        <w:spacing w:line="480" w:lineRule="auto"/>
        <w:ind w:left="720" w:hanging="720"/>
        <w:contextualSpacing/>
        <w:rPr>
          <w:rStyle w:val="Hyperlink"/>
          <w:color w:val="0070C0"/>
          <w:sz w:val="24"/>
          <w:szCs w:val="24"/>
        </w:rPr>
      </w:pPr>
      <w:proofErr w:type="gramStart"/>
      <w:r w:rsidRPr="00DA1BE5">
        <w:rPr>
          <w:sz w:val="24"/>
          <w:szCs w:val="24"/>
        </w:rPr>
        <w:t>Metro Archive.</w:t>
      </w:r>
      <w:proofErr w:type="gramEnd"/>
      <w:r w:rsidRPr="00DA1BE5">
        <w:rPr>
          <w:sz w:val="24"/>
          <w:szCs w:val="24"/>
        </w:rPr>
        <w:t xml:space="preserve"> </w:t>
      </w:r>
      <w:proofErr w:type="gramStart"/>
      <w:r w:rsidRPr="00DA1BE5">
        <w:rPr>
          <w:i/>
          <w:sz w:val="24"/>
          <w:szCs w:val="24"/>
        </w:rPr>
        <w:t>Nativity Scene at Centennial Park, Nashville, Tennessee 1953</w:t>
      </w:r>
      <w:r w:rsidRPr="00DA1BE5">
        <w:rPr>
          <w:sz w:val="24"/>
          <w:szCs w:val="24"/>
        </w:rPr>
        <w:t>.</w:t>
      </w:r>
      <w:proofErr w:type="gramEnd"/>
      <w:r w:rsidRPr="00DA1BE5">
        <w:rPr>
          <w:sz w:val="24"/>
          <w:szCs w:val="24"/>
        </w:rPr>
        <w:t xml:space="preserve"> </w:t>
      </w:r>
      <w:proofErr w:type="gramStart"/>
      <w:r w:rsidRPr="00DA1BE5">
        <w:rPr>
          <w:sz w:val="24"/>
          <w:szCs w:val="24"/>
        </w:rPr>
        <w:t>Nashville, 1953</w:t>
      </w:r>
      <w:r w:rsidR="006E7D7D" w:rsidRPr="00DA1BE5">
        <w:rPr>
          <w:sz w:val="24"/>
          <w:szCs w:val="24"/>
        </w:rPr>
        <w:t>.</w:t>
      </w:r>
      <w:proofErr w:type="gramEnd"/>
      <w:r w:rsidR="006E7D7D" w:rsidRPr="00DA1BE5">
        <w:rPr>
          <w:sz w:val="24"/>
          <w:szCs w:val="24"/>
        </w:rPr>
        <w:t xml:space="preserve"> </w:t>
      </w:r>
      <w:r w:rsidRPr="00DA1BE5">
        <w:rPr>
          <w:sz w:val="24"/>
          <w:szCs w:val="24"/>
        </w:rPr>
        <w:t xml:space="preserve">Photograph. From the Metro Archive, </w:t>
      </w:r>
      <w:hyperlink r:id="rId47" w:history="1">
        <w:r w:rsidRPr="00DA1BE5">
          <w:rPr>
            <w:rStyle w:val="Hyperlink"/>
            <w:color w:val="0070C0"/>
            <w:sz w:val="24"/>
            <w:szCs w:val="24"/>
          </w:rPr>
          <w:t>http://digital.library.nashville.org/cdm/singleitem/collection/nr/id/6225/rec/86</w:t>
        </w:r>
      </w:hyperlink>
    </w:p>
    <w:p w:rsidR="00762C13" w:rsidRPr="00762C13" w:rsidRDefault="00762C13" w:rsidP="00762C13">
      <w:pPr>
        <w:tabs>
          <w:tab w:val="left" w:pos="810"/>
        </w:tabs>
        <w:spacing w:line="480" w:lineRule="auto"/>
        <w:ind w:left="720" w:hanging="720"/>
        <w:contextualSpacing/>
        <w:rPr>
          <w:sz w:val="24"/>
          <w:szCs w:val="24"/>
        </w:rPr>
      </w:pPr>
      <w:proofErr w:type="gramStart"/>
      <w:r>
        <w:rPr>
          <w:rStyle w:val="Hyperlink"/>
          <w:color w:val="auto"/>
          <w:sz w:val="24"/>
          <w:szCs w:val="24"/>
          <w:u w:val="none"/>
        </w:rPr>
        <w:t>Nashville Parthenon.</w:t>
      </w:r>
      <w:proofErr w:type="gramEnd"/>
      <w:r>
        <w:rPr>
          <w:rStyle w:val="Hyperlink"/>
          <w:color w:val="auto"/>
          <w:sz w:val="24"/>
          <w:szCs w:val="24"/>
          <w:u w:val="none"/>
        </w:rPr>
        <w:t xml:space="preserve"> </w:t>
      </w:r>
      <w:proofErr w:type="gramStart"/>
      <w:r>
        <w:rPr>
          <w:rStyle w:val="Hyperlink"/>
          <w:i/>
          <w:color w:val="auto"/>
          <w:sz w:val="24"/>
          <w:szCs w:val="24"/>
          <w:u w:val="none"/>
        </w:rPr>
        <w:t>A Tale of Two Parthenons: Building Through Time</w:t>
      </w:r>
      <w:r>
        <w:rPr>
          <w:rStyle w:val="Hyperlink"/>
          <w:color w:val="auto"/>
          <w:sz w:val="24"/>
          <w:szCs w:val="24"/>
          <w:u w:val="none"/>
        </w:rPr>
        <w:t>.</w:t>
      </w:r>
      <w:proofErr w:type="gramEnd"/>
      <w:r>
        <w:rPr>
          <w:rStyle w:val="Hyperlink"/>
          <w:color w:val="auto"/>
          <w:sz w:val="24"/>
          <w:szCs w:val="24"/>
          <w:u w:val="none"/>
        </w:rPr>
        <w:t xml:space="preserve"> </w:t>
      </w:r>
      <w:proofErr w:type="gramStart"/>
      <w:r>
        <w:rPr>
          <w:rStyle w:val="Hyperlink"/>
          <w:color w:val="auto"/>
          <w:sz w:val="24"/>
          <w:szCs w:val="24"/>
          <w:u w:val="none"/>
        </w:rPr>
        <w:t xml:space="preserve">Nashville: Metropolitan Board </w:t>
      </w:r>
      <w:r w:rsidR="00A9261B">
        <w:rPr>
          <w:rStyle w:val="Hyperlink"/>
          <w:color w:val="auto"/>
          <w:sz w:val="24"/>
          <w:szCs w:val="24"/>
          <w:u w:val="none"/>
        </w:rPr>
        <w:t>of Parks and Recreation, 1996.</w:t>
      </w:r>
      <w:proofErr w:type="gramEnd"/>
      <w:r w:rsidR="00A9261B">
        <w:rPr>
          <w:rStyle w:val="Hyperlink"/>
          <w:color w:val="auto"/>
          <w:sz w:val="24"/>
          <w:szCs w:val="24"/>
          <w:u w:val="none"/>
        </w:rPr>
        <w:t xml:space="preserve"> </w:t>
      </w:r>
    </w:p>
    <w:p w:rsidR="00BB4E85" w:rsidRPr="00DA1BE5" w:rsidRDefault="002778F6" w:rsidP="00DA1BE5">
      <w:pPr>
        <w:tabs>
          <w:tab w:val="left" w:pos="810"/>
        </w:tabs>
        <w:spacing w:line="480" w:lineRule="auto"/>
        <w:ind w:left="720" w:hanging="720"/>
        <w:contextualSpacing/>
        <w:rPr>
          <w:sz w:val="24"/>
          <w:szCs w:val="24"/>
        </w:rPr>
      </w:pPr>
      <w:r>
        <w:rPr>
          <w:sz w:val="24"/>
          <w:szCs w:val="24"/>
        </w:rPr>
        <w:t>Nichol, Gustafson Guthrie.</w:t>
      </w:r>
      <w:r w:rsidR="00BB4E85" w:rsidRPr="00DA1BE5">
        <w:rPr>
          <w:sz w:val="24"/>
          <w:szCs w:val="24"/>
        </w:rPr>
        <w:t xml:space="preserve"> “Looking Southeast toward the reflecting pool, formal gardens, and arrival plaza,” </w:t>
      </w:r>
      <w:r w:rsidR="00BB4E85" w:rsidRPr="00DA1BE5">
        <w:rPr>
          <w:i/>
          <w:sz w:val="24"/>
          <w:szCs w:val="24"/>
        </w:rPr>
        <w:t>Centennial Park Master Plan</w:t>
      </w:r>
      <w:r w:rsidR="00BB4E85" w:rsidRPr="00DA1BE5">
        <w:rPr>
          <w:sz w:val="24"/>
          <w:szCs w:val="24"/>
        </w:rPr>
        <w:t>. Nashville, December 2010.</w:t>
      </w:r>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 xml:space="preserve">O’Connor, Thomas H. </w:t>
      </w:r>
      <w:proofErr w:type="gramStart"/>
      <w:r w:rsidRPr="00DA1BE5">
        <w:rPr>
          <w:i/>
          <w:sz w:val="24"/>
          <w:szCs w:val="24"/>
        </w:rPr>
        <w:t>The</w:t>
      </w:r>
      <w:proofErr w:type="gramEnd"/>
      <w:r w:rsidRPr="00DA1BE5">
        <w:rPr>
          <w:i/>
          <w:sz w:val="24"/>
          <w:szCs w:val="24"/>
        </w:rPr>
        <w:t xml:space="preserve"> Athens of America</w:t>
      </w:r>
      <w:r w:rsidRPr="00DA1BE5">
        <w:rPr>
          <w:sz w:val="24"/>
          <w:szCs w:val="24"/>
        </w:rPr>
        <w:t xml:space="preserve">. </w:t>
      </w:r>
      <w:proofErr w:type="gramStart"/>
      <w:r w:rsidRPr="00DA1BE5">
        <w:rPr>
          <w:sz w:val="24"/>
          <w:szCs w:val="24"/>
        </w:rPr>
        <w:t>Amherst &amp; Boston: U of Massachusetts P, 2006.</w:t>
      </w:r>
      <w:proofErr w:type="gramEnd"/>
      <w:r w:rsidRPr="00DA1BE5">
        <w:rPr>
          <w:sz w:val="24"/>
          <w:szCs w:val="24"/>
        </w:rPr>
        <w:t xml:space="preserve"> </w:t>
      </w:r>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t xml:space="preserve">Paine, Wesley, Laruen Bufferd, Laura Carrillo, Timothy Cartmell, Brenna Cothran, Dee Gee Lester, Karen Riley, Susan Shockley, Amanda Tackett, Linda </w:t>
      </w:r>
      <w:proofErr w:type="spellStart"/>
      <w:r w:rsidRPr="00DA1BE5">
        <w:rPr>
          <w:sz w:val="24"/>
          <w:szCs w:val="24"/>
        </w:rPr>
        <w:t>Vanlandingham</w:t>
      </w:r>
      <w:proofErr w:type="spellEnd"/>
      <w:r w:rsidRPr="00DA1BE5">
        <w:rPr>
          <w:sz w:val="24"/>
          <w:szCs w:val="24"/>
        </w:rPr>
        <w:t>, and Chester Wade</w:t>
      </w:r>
      <w:r w:rsidR="002778F6">
        <w:rPr>
          <w:sz w:val="24"/>
          <w:szCs w:val="24"/>
        </w:rPr>
        <w:t>.</w:t>
      </w:r>
      <w:r w:rsidRPr="00DA1BE5">
        <w:rPr>
          <w:sz w:val="24"/>
          <w:szCs w:val="24"/>
        </w:rPr>
        <w:t xml:space="preserve"> </w:t>
      </w:r>
      <w:r w:rsidRPr="00DA1BE5">
        <w:rPr>
          <w:i/>
          <w:sz w:val="24"/>
          <w:szCs w:val="24"/>
        </w:rPr>
        <w:t xml:space="preserve">The Parthenon. </w:t>
      </w:r>
      <w:r w:rsidRPr="00DA1BE5">
        <w:rPr>
          <w:sz w:val="24"/>
          <w:szCs w:val="24"/>
        </w:rPr>
        <w:t>Nashville: The Parthenon, 2014.</w:t>
      </w:r>
    </w:p>
    <w:p w:rsidR="00BB4E85" w:rsidRPr="00DA1BE5" w:rsidRDefault="00BB4E85" w:rsidP="00DA1BE5">
      <w:pPr>
        <w:tabs>
          <w:tab w:val="left" w:pos="810"/>
        </w:tabs>
        <w:spacing w:line="480" w:lineRule="auto"/>
        <w:ind w:left="720" w:hanging="720"/>
        <w:contextualSpacing/>
        <w:rPr>
          <w:sz w:val="24"/>
          <w:szCs w:val="24"/>
        </w:rPr>
      </w:pPr>
      <w:proofErr w:type="gramStart"/>
      <w:r w:rsidRPr="00DA1BE5">
        <w:rPr>
          <w:sz w:val="24"/>
          <w:szCs w:val="24"/>
        </w:rPr>
        <w:t>Park Board</w:t>
      </w:r>
      <w:r w:rsidR="002778F6">
        <w:rPr>
          <w:sz w:val="24"/>
          <w:szCs w:val="24"/>
        </w:rPr>
        <w:t>.</w:t>
      </w:r>
      <w:proofErr w:type="gramEnd"/>
      <w:r w:rsidRPr="00DA1BE5">
        <w:rPr>
          <w:sz w:val="24"/>
          <w:szCs w:val="24"/>
        </w:rPr>
        <w:t xml:space="preserve"> </w:t>
      </w:r>
      <w:r w:rsidRPr="00DA1BE5">
        <w:rPr>
          <w:i/>
          <w:sz w:val="24"/>
          <w:szCs w:val="24"/>
        </w:rPr>
        <w:t>Park Board Meeting Minutes April 16, 1901</w:t>
      </w:r>
      <w:r w:rsidRPr="00DA1BE5">
        <w:rPr>
          <w:sz w:val="24"/>
          <w:szCs w:val="24"/>
        </w:rPr>
        <w:t xml:space="preserve">. </w:t>
      </w:r>
      <w:proofErr w:type="gramStart"/>
      <w:r w:rsidRPr="00DA1BE5">
        <w:rPr>
          <w:sz w:val="24"/>
          <w:szCs w:val="24"/>
        </w:rPr>
        <w:t>Minutes.</w:t>
      </w:r>
      <w:proofErr w:type="gramEnd"/>
      <w:r w:rsidRPr="00DA1BE5">
        <w:rPr>
          <w:sz w:val="24"/>
          <w:szCs w:val="24"/>
        </w:rPr>
        <w:t xml:space="preserve"> Nashville: 1901. </w:t>
      </w:r>
      <w:proofErr w:type="gramStart"/>
      <w:r w:rsidRPr="00DA1BE5">
        <w:rPr>
          <w:sz w:val="24"/>
          <w:szCs w:val="24"/>
        </w:rPr>
        <w:t>Park Board Minutes from Metro Archive.</w:t>
      </w:r>
      <w:proofErr w:type="gramEnd"/>
    </w:p>
    <w:p w:rsidR="00BB4E85" w:rsidRPr="00DA1BE5" w:rsidRDefault="00BB4E85" w:rsidP="00DA1BE5">
      <w:pPr>
        <w:tabs>
          <w:tab w:val="left" w:pos="810"/>
        </w:tabs>
        <w:spacing w:line="480" w:lineRule="auto"/>
        <w:ind w:left="720" w:hanging="720"/>
        <w:contextualSpacing/>
        <w:rPr>
          <w:sz w:val="24"/>
          <w:szCs w:val="24"/>
        </w:rPr>
      </w:pPr>
      <w:proofErr w:type="gramStart"/>
      <w:r w:rsidRPr="00DA1BE5">
        <w:rPr>
          <w:sz w:val="24"/>
          <w:szCs w:val="24"/>
        </w:rPr>
        <w:t>Park Board</w:t>
      </w:r>
      <w:r w:rsidR="002778F6">
        <w:rPr>
          <w:sz w:val="24"/>
          <w:szCs w:val="24"/>
        </w:rPr>
        <w:t>.</w:t>
      </w:r>
      <w:proofErr w:type="gramEnd"/>
      <w:r w:rsidRPr="00DA1BE5">
        <w:rPr>
          <w:sz w:val="24"/>
          <w:szCs w:val="24"/>
        </w:rPr>
        <w:t xml:space="preserve"> </w:t>
      </w:r>
      <w:r w:rsidRPr="00DA1BE5">
        <w:rPr>
          <w:i/>
          <w:sz w:val="24"/>
          <w:szCs w:val="24"/>
        </w:rPr>
        <w:t>Park Board Meeting Minutes December 30, 1902</w:t>
      </w:r>
      <w:r w:rsidRPr="00DA1BE5">
        <w:rPr>
          <w:sz w:val="24"/>
          <w:szCs w:val="24"/>
        </w:rPr>
        <w:t xml:space="preserve">. </w:t>
      </w:r>
      <w:proofErr w:type="gramStart"/>
      <w:r w:rsidRPr="00DA1BE5">
        <w:rPr>
          <w:sz w:val="24"/>
          <w:szCs w:val="24"/>
        </w:rPr>
        <w:t>Minutes.</w:t>
      </w:r>
      <w:proofErr w:type="gramEnd"/>
      <w:r w:rsidRPr="00DA1BE5">
        <w:rPr>
          <w:sz w:val="24"/>
          <w:szCs w:val="24"/>
        </w:rPr>
        <w:t xml:space="preserve"> Nashville: 1902. </w:t>
      </w:r>
      <w:proofErr w:type="gramStart"/>
      <w:r w:rsidRPr="00DA1BE5">
        <w:rPr>
          <w:sz w:val="24"/>
          <w:szCs w:val="24"/>
        </w:rPr>
        <w:t>Park Board Minutes from Metro Archive.</w:t>
      </w:r>
      <w:proofErr w:type="gramEnd"/>
    </w:p>
    <w:p w:rsidR="00BB4E85" w:rsidRDefault="00BB4E85" w:rsidP="00DA1BE5">
      <w:pPr>
        <w:tabs>
          <w:tab w:val="left" w:pos="810"/>
        </w:tabs>
        <w:spacing w:line="480" w:lineRule="auto"/>
        <w:ind w:left="720" w:hanging="720"/>
        <w:contextualSpacing/>
        <w:rPr>
          <w:sz w:val="24"/>
          <w:szCs w:val="24"/>
        </w:rPr>
      </w:pPr>
      <w:proofErr w:type="gramStart"/>
      <w:r w:rsidRPr="00DA1BE5">
        <w:rPr>
          <w:sz w:val="24"/>
          <w:szCs w:val="24"/>
        </w:rPr>
        <w:lastRenderedPageBreak/>
        <w:t>Park Board</w:t>
      </w:r>
      <w:r w:rsidR="002778F6">
        <w:rPr>
          <w:sz w:val="24"/>
          <w:szCs w:val="24"/>
        </w:rPr>
        <w:t>.</w:t>
      </w:r>
      <w:proofErr w:type="gramEnd"/>
      <w:r w:rsidRPr="00DA1BE5">
        <w:rPr>
          <w:sz w:val="24"/>
          <w:szCs w:val="24"/>
        </w:rPr>
        <w:t xml:space="preserve"> </w:t>
      </w:r>
      <w:r w:rsidRPr="00DA1BE5">
        <w:rPr>
          <w:i/>
          <w:sz w:val="24"/>
          <w:szCs w:val="24"/>
        </w:rPr>
        <w:t>Park Board Meeting Minutes January 28, 1902</w:t>
      </w:r>
      <w:r w:rsidRPr="00DA1BE5">
        <w:rPr>
          <w:sz w:val="24"/>
          <w:szCs w:val="24"/>
        </w:rPr>
        <w:t xml:space="preserve">. </w:t>
      </w:r>
      <w:proofErr w:type="gramStart"/>
      <w:r w:rsidRPr="00DA1BE5">
        <w:rPr>
          <w:sz w:val="24"/>
          <w:szCs w:val="24"/>
        </w:rPr>
        <w:t>Minutes.</w:t>
      </w:r>
      <w:proofErr w:type="gramEnd"/>
      <w:r w:rsidRPr="00DA1BE5">
        <w:rPr>
          <w:sz w:val="24"/>
          <w:szCs w:val="24"/>
        </w:rPr>
        <w:t xml:space="preserve"> Nashville: 1902. </w:t>
      </w:r>
      <w:proofErr w:type="gramStart"/>
      <w:r w:rsidRPr="00DA1BE5">
        <w:rPr>
          <w:sz w:val="24"/>
          <w:szCs w:val="24"/>
        </w:rPr>
        <w:t>Park Board Minutes from Metro Archive.</w:t>
      </w:r>
      <w:proofErr w:type="gramEnd"/>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Pausanias.</w:t>
      </w:r>
      <w:r w:rsidR="00BB4E85" w:rsidRPr="00DA1BE5">
        <w:rPr>
          <w:sz w:val="24"/>
          <w:szCs w:val="24"/>
        </w:rPr>
        <w:t xml:space="preserve"> </w:t>
      </w:r>
      <w:r w:rsidR="00BB4E85" w:rsidRPr="00DA1BE5">
        <w:rPr>
          <w:i/>
          <w:sz w:val="24"/>
          <w:szCs w:val="24"/>
        </w:rPr>
        <w:t xml:space="preserve">Description of Greece Book </w:t>
      </w:r>
      <w:proofErr w:type="gramStart"/>
      <w:r w:rsidR="00BB4E85" w:rsidRPr="00DA1BE5">
        <w:rPr>
          <w:i/>
          <w:sz w:val="24"/>
          <w:szCs w:val="24"/>
        </w:rPr>
        <w:t>I</w:t>
      </w:r>
      <w:proofErr w:type="gramEnd"/>
      <w:r w:rsidR="00BB4E85" w:rsidRPr="00DA1BE5">
        <w:rPr>
          <w:i/>
          <w:sz w:val="24"/>
          <w:szCs w:val="24"/>
        </w:rPr>
        <w:t xml:space="preserve">: Attica, </w:t>
      </w:r>
      <w:r w:rsidR="00BB4E85" w:rsidRPr="00DA1BE5">
        <w:rPr>
          <w:sz w:val="24"/>
          <w:szCs w:val="24"/>
        </w:rPr>
        <w:t xml:space="preserve">trans. W.H.S. Jones. </w:t>
      </w:r>
      <w:proofErr w:type="gramStart"/>
      <w:r w:rsidR="00130592" w:rsidRPr="00130592">
        <w:rPr>
          <w:sz w:val="24"/>
          <w:szCs w:val="24"/>
        </w:rPr>
        <w:t>Loeb Classical Library.</w:t>
      </w:r>
      <w:proofErr w:type="gramEnd"/>
      <w:r w:rsidR="00130592" w:rsidRPr="00130592">
        <w:rPr>
          <w:sz w:val="24"/>
          <w:szCs w:val="24"/>
        </w:rPr>
        <w:t xml:space="preserve"> </w:t>
      </w:r>
      <w:r w:rsidR="00BB4E85" w:rsidRPr="00DA1BE5">
        <w:rPr>
          <w:sz w:val="24"/>
          <w:szCs w:val="24"/>
        </w:rPr>
        <w:t xml:space="preserve">Cambridge: Harvard UP, 1992.  </w:t>
      </w:r>
    </w:p>
    <w:p w:rsidR="00BB4E85" w:rsidRPr="00DA1BE5" w:rsidRDefault="002778F6" w:rsidP="00DA1BE5">
      <w:pPr>
        <w:tabs>
          <w:tab w:val="left" w:pos="810"/>
        </w:tabs>
        <w:spacing w:line="480" w:lineRule="auto"/>
        <w:ind w:left="720" w:hanging="720"/>
        <w:contextualSpacing/>
        <w:rPr>
          <w:sz w:val="24"/>
          <w:szCs w:val="24"/>
        </w:rPr>
      </w:pPr>
      <w:r>
        <w:rPr>
          <w:sz w:val="24"/>
          <w:szCs w:val="24"/>
        </w:rPr>
        <w:t>Plutarch.</w:t>
      </w:r>
      <w:r w:rsidR="00BB4E85" w:rsidRPr="00DA1BE5">
        <w:rPr>
          <w:sz w:val="24"/>
          <w:szCs w:val="24"/>
        </w:rPr>
        <w:t xml:space="preserve"> </w:t>
      </w:r>
      <w:proofErr w:type="gramStart"/>
      <w:r w:rsidR="00130592">
        <w:rPr>
          <w:i/>
          <w:sz w:val="24"/>
          <w:szCs w:val="24"/>
        </w:rPr>
        <w:t xml:space="preserve">Plutarch’s Lives: </w:t>
      </w:r>
      <w:r w:rsidR="00BB4E85" w:rsidRPr="00DA1BE5">
        <w:rPr>
          <w:i/>
          <w:sz w:val="24"/>
          <w:szCs w:val="24"/>
        </w:rPr>
        <w:t>Pericles</w:t>
      </w:r>
      <w:r w:rsidR="00BB4E85" w:rsidRPr="00DA1BE5">
        <w:rPr>
          <w:sz w:val="24"/>
          <w:szCs w:val="24"/>
        </w:rPr>
        <w:t>, trans. Bernadontte Perrin.</w:t>
      </w:r>
      <w:proofErr w:type="gramEnd"/>
      <w:r w:rsidR="00BB4E85" w:rsidRPr="00DA1BE5">
        <w:rPr>
          <w:sz w:val="24"/>
          <w:szCs w:val="24"/>
        </w:rPr>
        <w:t xml:space="preserve"> </w:t>
      </w:r>
      <w:proofErr w:type="gramStart"/>
      <w:r w:rsidR="00130592" w:rsidRPr="00130592">
        <w:rPr>
          <w:sz w:val="24"/>
          <w:szCs w:val="24"/>
        </w:rPr>
        <w:t>Loeb Classical Library.</w:t>
      </w:r>
      <w:proofErr w:type="gramEnd"/>
      <w:r w:rsidR="00130592" w:rsidRPr="00130592">
        <w:rPr>
          <w:sz w:val="24"/>
          <w:szCs w:val="24"/>
        </w:rPr>
        <w:t xml:space="preserve"> </w:t>
      </w:r>
      <w:r w:rsidR="00BB4E85" w:rsidRPr="00DA1BE5">
        <w:rPr>
          <w:sz w:val="24"/>
          <w:szCs w:val="24"/>
        </w:rPr>
        <w:t xml:space="preserve">Cambridge: Harvard UP, 1984. </w:t>
      </w:r>
    </w:p>
    <w:p w:rsidR="00BB4E85" w:rsidRPr="00DA1BE5" w:rsidRDefault="00BB4E85" w:rsidP="00DA1BE5">
      <w:pPr>
        <w:tabs>
          <w:tab w:val="left" w:pos="810"/>
        </w:tabs>
        <w:spacing w:line="480" w:lineRule="auto"/>
        <w:ind w:left="720" w:hanging="720"/>
        <w:contextualSpacing/>
        <w:rPr>
          <w:sz w:val="24"/>
          <w:szCs w:val="24"/>
        </w:rPr>
      </w:pPr>
      <w:r w:rsidRPr="00DA1BE5">
        <w:rPr>
          <w:sz w:val="24"/>
          <w:szCs w:val="24"/>
        </w:rPr>
        <w:t>Reid, John</w:t>
      </w:r>
      <w:r w:rsidR="002778F6">
        <w:rPr>
          <w:sz w:val="24"/>
          <w:szCs w:val="24"/>
        </w:rPr>
        <w:t>.</w:t>
      </w:r>
      <w:r w:rsidRPr="00DA1BE5">
        <w:rPr>
          <w:sz w:val="24"/>
          <w:szCs w:val="24"/>
        </w:rPr>
        <w:t xml:space="preserve"> Publisher. </w:t>
      </w:r>
      <w:proofErr w:type="gramStart"/>
      <w:r w:rsidRPr="00DA1BE5">
        <w:rPr>
          <w:sz w:val="24"/>
          <w:szCs w:val="24"/>
        </w:rPr>
        <w:t>A map of the Tennessee government, formerly part of North Carolina.</w:t>
      </w:r>
      <w:proofErr w:type="gramEnd"/>
      <w:r w:rsidRPr="00DA1BE5">
        <w:rPr>
          <w:sz w:val="24"/>
          <w:szCs w:val="24"/>
        </w:rPr>
        <w:t xml:space="preserve"> [S.l, 1795] </w:t>
      </w:r>
      <w:proofErr w:type="gramStart"/>
      <w:r w:rsidRPr="00DA1BE5">
        <w:rPr>
          <w:sz w:val="24"/>
          <w:szCs w:val="24"/>
        </w:rPr>
        <w:t>Map.</w:t>
      </w:r>
      <w:proofErr w:type="gramEnd"/>
      <w:r w:rsidRPr="00DA1BE5">
        <w:rPr>
          <w:sz w:val="24"/>
          <w:szCs w:val="24"/>
        </w:rPr>
        <w:t xml:space="preserve"> </w:t>
      </w:r>
      <w:proofErr w:type="gramStart"/>
      <w:r w:rsidRPr="00DA1BE5">
        <w:rPr>
          <w:sz w:val="24"/>
          <w:szCs w:val="24"/>
        </w:rPr>
        <w:t xml:space="preserve">Retrieved from the Library of Congress, </w:t>
      </w:r>
      <w:r w:rsidRPr="00DA1BE5">
        <w:rPr>
          <w:color w:val="0070C0"/>
          <w:sz w:val="24"/>
          <w:szCs w:val="24"/>
        </w:rPr>
        <w:t>https://www.loc.gov/item/99446175/</w:t>
      </w:r>
      <w:r w:rsidRPr="00DA1BE5">
        <w:rPr>
          <w:sz w:val="24"/>
          <w:szCs w:val="24"/>
        </w:rPr>
        <w:t>.</w:t>
      </w:r>
      <w:proofErr w:type="gramEnd"/>
      <w:r w:rsidRPr="00DA1BE5">
        <w:rPr>
          <w:sz w:val="24"/>
          <w:szCs w:val="24"/>
        </w:rPr>
        <w:t xml:space="preserve"> </w:t>
      </w:r>
    </w:p>
    <w:p w:rsidR="00BB4E85" w:rsidRPr="00DA1BE5" w:rsidRDefault="00BB4E85" w:rsidP="00DA1BE5">
      <w:pPr>
        <w:tabs>
          <w:tab w:val="left" w:pos="810"/>
        </w:tabs>
        <w:spacing w:line="480" w:lineRule="auto"/>
        <w:ind w:left="720" w:hanging="720"/>
        <w:contextualSpacing/>
        <w:rPr>
          <w:noProof/>
          <w:sz w:val="24"/>
          <w:szCs w:val="24"/>
        </w:rPr>
      </w:pPr>
      <w:r w:rsidRPr="00DA1BE5">
        <w:rPr>
          <w:noProof/>
          <w:sz w:val="24"/>
          <w:szCs w:val="24"/>
        </w:rPr>
        <w:t>Rodenwaldt, Gerhart and Walter Hege,</w:t>
      </w:r>
      <w:r w:rsidR="002778F6">
        <w:rPr>
          <w:noProof/>
          <w:sz w:val="24"/>
          <w:szCs w:val="24"/>
        </w:rPr>
        <w:t xml:space="preserve"> Photographer.</w:t>
      </w:r>
      <w:r w:rsidRPr="00DA1BE5">
        <w:rPr>
          <w:noProof/>
          <w:sz w:val="24"/>
          <w:szCs w:val="24"/>
        </w:rPr>
        <w:t xml:space="preserve"> </w:t>
      </w:r>
      <w:r w:rsidRPr="00DA1BE5">
        <w:rPr>
          <w:i/>
          <w:noProof/>
          <w:sz w:val="24"/>
          <w:szCs w:val="24"/>
        </w:rPr>
        <w:t>The Acropolis</w:t>
      </w:r>
      <w:r w:rsidRPr="00DA1BE5">
        <w:rPr>
          <w:noProof/>
          <w:sz w:val="24"/>
          <w:szCs w:val="24"/>
        </w:rPr>
        <w:t>, 2</w:t>
      </w:r>
      <w:r w:rsidRPr="00DA1BE5">
        <w:rPr>
          <w:noProof/>
          <w:sz w:val="24"/>
          <w:szCs w:val="24"/>
          <w:vertAlign w:val="superscript"/>
        </w:rPr>
        <w:t>nd</w:t>
      </w:r>
      <w:r w:rsidRPr="00DA1BE5">
        <w:rPr>
          <w:noProof/>
          <w:sz w:val="24"/>
          <w:szCs w:val="24"/>
        </w:rPr>
        <w:t xml:space="preserve"> ed. Norman: U of Oklahoma P. 1957.</w:t>
      </w:r>
    </w:p>
    <w:p w:rsidR="00BB4E85" w:rsidRPr="00DA1BE5" w:rsidRDefault="002778F6" w:rsidP="00DA1BE5">
      <w:pPr>
        <w:suppressLineNumbers/>
        <w:tabs>
          <w:tab w:val="left" w:pos="810"/>
        </w:tabs>
        <w:spacing w:line="480" w:lineRule="auto"/>
        <w:ind w:left="720" w:hanging="720"/>
        <w:contextualSpacing/>
        <w:rPr>
          <w:rFonts w:cs="Times New Roman"/>
          <w:sz w:val="24"/>
          <w:szCs w:val="24"/>
        </w:rPr>
      </w:pPr>
      <w:proofErr w:type="spellStart"/>
      <w:r>
        <w:rPr>
          <w:rFonts w:cs="Times New Roman"/>
          <w:sz w:val="24"/>
          <w:szCs w:val="24"/>
        </w:rPr>
        <w:t>Stillman</w:t>
      </w:r>
      <w:proofErr w:type="spellEnd"/>
      <w:r>
        <w:rPr>
          <w:rFonts w:cs="Times New Roman"/>
          <w:sz w:val="24"/>
          <w:szCs w:val="24"/>
        </w:rPr>
        <w:t>, William James.</w:t>
      </w:r>
      <w:r w:rsidR="00BB4E85" w:rsidRPr="00DA1BE5">
        <w:rPr>
          <w:rFonts w:cs="Times New Roman"/>
          <w:sz w:val="24"/>
          <w:szCs w:val="24"/>
        </w:rPr>
        <w:t xml:space="preserve"> </w:t>
      </w:r>
      <w:r w:rsidR="00BB4E85" w:rsidRPr="00DA1BE5">
        <w:rPr>
          <w:rFonts w:cs="Times New Roman"/>
          <w:i/>
          <w:sz w:val="24"/>
          <w:szCs w:val="24"/>
        </w:rPr>
        <w:t>The Acropolis of Athens, Illustrated Picturesquely and Architecturally in Photography</w:t>
      </w:r>
      <w:r w:rsidR="00BB4E85" w:rsidRPr="00DA1BE5">
        <w:rPr>
          <w:rFonts w:cs="Times New Roman"/>
          <w:sz w:val="24"/>
          <w:szCs w:val="24"/>
        </w:rPr>
        <w:t xml:space="preserve">. Boston: Museum of Fine Arts, 1870. </w:t>
      </w:r>
    </w:p>
    <w:p w:rsidR="00BB4E85" w:rsidRPr="00DA1BE5" w:rsidRDefault="002778F6" w:rsidP="00DA1BE5">
      <w:pPr>
        <w:tabs>
          <w:tab w:val="left" w:pos="810"/>
        </w:tabs>
        <w:spacing w:line="480" w:lineRule="auto"/>
        <w:ind w:left="720" w:hanging="720"/>
        <w:contextualSpacing/>
        <w:rPr>
          <w:sz w:val="24"/>
          <w:szCs w:val="24"/>
        </w:rPr>
      </w:pPr>
      <w:r>
        <w:rPr>
          <w:sz w:val="24"/>
          <w:szCs w:val="24"/>
        </w:rPr>
        <w:t xml:space="preserve">Suzanne, </w:t>
      </w:r>
      <w:proofErr w:type="spellStart"/>
      <w:r>
        <w:rPr>
          <w:sz w:val="24"/>
          <w:szCs w:val="24"/>
        </w:rPr>
        <w:t>Beranrd</w:t>
      </w:r>
      <w:proofErr w:type="spellEnd"/>
      <w:r>
        <w:rPr>
          <w:sz w:val="24"/>
          <w:szCs w:val="24"/>
        </w:rPr>
        <w:t>.</w:t>
      </w:r>
      <w:r w:rsidR="00BB4E85" w:rsidRPr="00DA1BE5">
        <w:rPr>
          <w:sz w:val="24"/>
          <w:szCs w:val="24"/>
        </w:rPr>
        <w:t xml:space="preserve"> “Map of the Acropolis of Athens in Socrates and Plato's time,” </w:t>
      </w:r>
      <w:r w:rsidR="00BB4E85" w:rsidRPr="00DA1BE5">
        <w:rPr>
          <w:i/>
          <w:sz w:val="24"/>
          <w:szCs w:val="24"/>
        </w:rPr>
        <w:t>Plato Dialogues</w:t>
      </w:r>
      <w:r w:rsidR="00BB4E85" w:rsidRPr="00DA1BE5">
        <w:rPr>
          <w:sz w:val="24"/>
          <w:szCs w:val="24"/>
        </w:rPr>
        <w:t xml:space="preserve">. Dec. 30, 1998. </w:t>
      </w:r>
      <w:hyperlink r:id="rId48" w:history="1">
        <w:r w:rsidR="00BB4E85" w:rsidRPr="00DA1BE5">
          <w:rPr>
            <w:rStyle w:val="Hyperlink"/>
            <w:color w:val="0070C0"/>
            <w:sz w:val="24"/>
            <w:szCs w:val="24"/>
          </w:rPr>
          <w:t>http://plato-dialogues.org/tools/acropol.htm</w:t>
        </w:r>
      </w:hyperlink>
      <w:r w:rsidR="00BB4E85" w:rsidRPr="00DA1BE5">
        <w:rPr>
          <w:sz w:val="24"/>
          <w:szCs w:val="24"/>
        </w:rPr>
        <w:t>.</w:t>
      </w:r>
    </w:p>
    <w:p w:rsidR="00BB4E85" w:rsidRPr="00DA1BE5" w:rsidRDefault="002778F6" w:rsidP="00DA1BE5">
      <w:pPr>
        <w:tabs>
          <w:tab w:val="left" w:pos="810"/>
        </w:tabs>
        <w:spacing w:line="480" w:lineRule="auto"/>
        <w:ind w:left="720" w:hanging="720"/>
        <w:contextualSpacing/>
        <w:rPr>
          <w:sz w:val="24"/>
          <w:szCs w:val="24"/>
        </w:rPr>
      </w:pPr>
      <w:proofErr w:type="gramStart"/>
      <w:r>
        <w:rPr>
          <w:sz w:val="24"/>
          <w:szCs w:val="24"/>
        </w:rPr>
        <w:t>The Conservancy.</w:t>
      </w:r>
      <w:proofErr w:type="gramEnd"/>
      <w:r w:rsidR="00BB4E85" w:rsidRPr="00DA1BE5">
        <w:rPr>
          <w:sz w:val="24"/>
          <w:szCs w:val="24"/>
        </w:rPr>
        <w:t xml:space="preserve"> “About the Conservancy,” </w:t>
      </w:r>
      <w:r w:rsidR="00BB4E85" w:rsidRPr="00DA1BE5">
        <w:rPr>
          <w:i/>
          <w:sz w:val="24"/>
          <w:szCs w:val="24"/>
        </w:rPr>
        <w:t>The Conservancy</w:t>
      </w:r>
      <w:r w:rsidR="00BB4E85" w:rsidRPr="00DA1BE5">
        <w:rPr>
          <w:sz w:val="24"/>
          <w:szCs w:val="24"/>
        </w:rPr>
        <w:t>, 2016</w:t>
      </w:r>
      <w:proofErr w:type="gramStart"/>
      <w:r w:rsidR="00BB4E85" w:rsidRPr="00DA1BE5">
        <w:rPr>
          <w:sz w:val="24"/>
          <w:szCs w:val="24"/>
        </w:rPr>
        <w:t xml:space="preserve">,  </w:t>
      </w:r>
      <w:proofErr w:type="gramEnd"/>
      <w:r w:rsidR="004C0068" w:rsidRPr="00DA1BE5">
        <w:rPr>
          <w:sz w:val="24"/>
          <w:szCs w:val="24"/>
        </w:rPr>
        <w:fldChar w:fldCharType="begin"/>
      </w:r>
      <w:r w:rsidR="004C0068" w:rsidRPr="00DA1BE5">
        <w:rPr>
          <w:sz w:val="24"/>
          <w:szCs w:val="24"/>
        </w:rPr>
        <w:instrText xml:space="preserve"> HYPERLINK "http://conservancyonline.com/about" </w:instrText>
      </w:r>
      <w:r w:rsidR="004C0068" w:rsidRPr="00DA1BE5">
        <w:rPr>
          <w:sz w:val="24"/>
          <w:szCs w:val="24"/>
        </w:rPr>
        <w:fldChar w:fldCharType="separate"/>
      </w:r>
      <w:r w:rsidR="00BB4E85" w:rsidRPr="00DA1BE5">
        <w:rPr>
          <w:rStyle w:val="Hyperlink"/>
          <w:color w:val="0070C0"/>
          <w:sz w:val="24"/>
          <w:szCs w:val="24"/>
        </w:rPr>
        <w:t>http://conservancyonline.com/about</w:t>
      </w:r>
      <w:r w:rsidR="004C0068" w:rsidRPr="00DA1BE5">
        <w:rPr>
          <w:rStyle w:val="Hyperlink"/>
          <w:color w:val="0070C0"/>
          <w:sz w:val="24"/>
          <w:szCs w:val="24"/>
        </w:rPr>
        <w:fldChar w:fldCharType="end"/>
      </w:r>
      <w:r w:rsidR="00BB4E85" w:rsidRPr="00DA1BE5">
        <w:rPr>
          <w:sz w:val="24"/>
          <w:szCs w:val="24"/>
        </w:rPr>
        <w:t>.</w:t>
      </w:r>
    </w:p>
    <w:p w:rsidR="00BB4E85" w:rsidRPr="00DA1BE5" w:rsidRDefault="00BB4E85" w:rsidP="00DA1BE5">
      <w:pPr>
        <w:tabs>
          <w:tab w:val="left" w:pos="810"/>
          <w:tab w:val="left" w:pos="6780"/>
        </w:tabs>
        <w:spacing w:line="480" w:lineRule="auto"/>
        <w:ind w:left="720" w:hanging="720"/>
        <w:contextualSpacing/>
        <w:rPr>
          <w:rStyle w:val="Hyperlink"/>
          <w:color w:val="auto"/>
          <w:sz w:val="24"/>
          <w:szCs w:val="24"/>
        </w:rPr>
      </w:pPr>
      <w:proofErr w:type="gramStart"/>
      <w:r w:rsidRPr="00DA1BE5">
        <w:rPr>
          <w:sz w:val="24"/>
          <w:szCs w:val="24"/>
        </w:rPr>
        <w:t>The L</w:t>
      </w:r>
      <w:r w:rsidR="002778F6">
        <w:rPr>
          <w:sz w:val="24"/>
          <w:szCs w:val="24"/>
        </w:rPr>
        <w:t>ibrary Congress of Philadelphia.</w:t>
      </w:r>
      <w:proofErr w:type="gramEnd"/>
      <w:r w:rsidRPr="00DA1BE5">
        <w:rPr>
          <w:sz w:val="24"/>
          <w:szCs w:val="24"/>
        </w:rPr>
        <w:t xml:space="preserve"> “Athens of America,” The Library Company of Philadelphia, 2007, </w:t>
      </w:r>
      <w:hyperlink r:id="rId49" w:history="1">
        <w:r w:rsidRPr="00DA1BE5">
          <w:rPr>
            <w:rStyle w:val="Hyperlink"/>
            <w:color w:val="0070C0"/>
            <w:sz w:val="24"/>
            <w:szCs w:val="24"/>
          </w:rPr>
          <w:t>http://www.librarycompany.org/artifacts/athens.htm</w:t>
        </w:r>
      </w:hyperlink>
    </w:p>
    <w:p w:rsidR="00BB4E85" w:rsidRPr="00DA1BE5" w:rsidRDefault="00BB4E85" w:rsidP="00DA1BE5">
      <w:pPr>
        <w:pStyle w:val="FootnoteText"/>
        <w:tabs>
          <w:tab w:val="left" w:pos="810"/>
        </w:tabs>
        <w:spacing w:line="480" w:lineRule="auto"/>
        <w:ind w:left="720" w:hanging="720"/>
        <w:contextualSpacing/>
        <w:rPr>
          <w:sz w:val="24"/>
          <w:szCs w:val="24"/>
        </w:rPr>
      </w:pPr>
      <w:proofErr w:type="gramStart"/>
      <w:r w:rsidRPr="00DA1BE5">
        <w:rPr>
          <w:sz w:val="24"/>
          <w:szCs w:val="24"/>
        </w:rPr>
        <w:t>The Trustees of the British Museum.</w:t>
      </w:r>
      <w:proofErr w:type="gramEnd"/>
      <w:r w:rsidRPr="00DA1BE5">
        <w:rPr>
          <w:sz w:val="24"/>
          <w:szCs w:val="24"/>
        </w:rPr>
        <w:t xml:space="preserve"> </w:t>
      </w:r>
      <w:proofErr w:type="gramStart"/>
      <w:r w:rsidRPr="00DA1BE5">
        <w:rPr>
          <w:i/>
          <w:sz w:val="24"/>
          <w:szCs w:val="24"/>
        </w:rPr>
        <w:t>A Historical Guide to the Sculptures of the Parthenon</w:t>
      </w:r>
      <w:r w:rsidRPr="00DA1BE5">
        <w:rPr>
          <w:sz w:val="24"/>
          <w:szCs w:val="24"/>
        </w:rPr>
        <w:t>.</w:t>
      </w:r>
      <w:proofErr w:type="gramEnd"/>
      <w:r w:rsidRPr="00DA1BE5">
        <w:rPr>
          <w:sz w:val="24"/>
          <w:szCs w:val="24"/>
        </w:rPr>
        <w:t xml:space="preserve"> </w:t>
      </w:r>
      <w:proofErr w:type="gramStart"/>
      <w:r w:rsidRPr="00DA1BE5">
        <w:rPr>
          <w:sz w:val="24"/>
          <w:szCs w:val="24"/>
        </w:rPr>
        <w:t>London: Balding and Mansell, 1971.</w:t>
      </w:r>
      <w:proofErr w:type="gramEnd"/>
      <w:r w:rsidRPr="00DA1BE5">
        <w:rPr>
          <w:sz w:val="24"/>
          <w:szCs w:val="24"/>
        </w:rPr>
        <w:t xml:space="preserve"> </w:t>
      </w:r>
    </w:p>
    <w:p w:rsidR="00BB4E85" w:rsidRPr="00DA1BE5" w:rsidRDefault="00BB4E85" w:rsidP="00DA1BE5">
      <w:pPr>
        <w:pStyle w:val="Caption"/>
        <w:tabs>
          <w:tab w:val="left" w:pos="810"/>
        </w:tabs>
        <w:spacing w:line="480" w:lineRule="auto"/>
        <w:ind w:left="720" w:hanging="720"/>
        <w:contextualSpacing/>
        <w:rPr>
          <w:b w:val="0"/>
          <w:color w:val="auto"/>
          <w:sz w:val="24"/>
          <w:szCs w:val="24"/>
        </w:rPr>
      </w:pPr>
      <w:r w:rsidRPr="00DA1BE5">
        <w:rPr>
          <w:b w:val="0"/>
          <w:color w:val="auto"/>
          <w:sz w:val="24"/>
          <w:szCs w:val="24"/>
        </w:rPr>
        <w:lastRenderedPageBreak/>
        <w:t xml:space="preserve">Thomas, John W., </w:t>
      </w:r>
      <w:r w:rsidRPr="00DA1BE5">
        <w:rPr>
          <w:b w:val="0"/>
          <w:i/>
          <w:color w:val="auto"/>
          <w:sz w:val="24"/>
          <w:szCs w:val="24"/>
        </w:rPr>
        <w:t>John Thomas to Colonel John H. Averill</w:t>
      </w:r>
      <w:r w:rsidRPr="00DA1BE5">
        <w:rPr>
          <w:b w:val="0"/>
          <w:color w:val="auto"/>
          <w:sz w:val="24"/>
          <w:szCs w:val="24"/>
        </w:rPr>
        <w:t xml:space="preserve">. March 13 1900. </w:t>
      </w:r>
      <w:proofErr w:type="gramStart"/>
      <w:r w:rsidRPr="00DA1BE5">
        <w:rPr>
          <w:b w:val="0"/>
          <w:color w:val="auto"/>
          <w:sz w:val="24"/>
          <w:szCs w:val="24"/>
        </w:rPr>
        <w:t>Letter.</w:t>
      </w:r>
      <w:proofErr w:type="gramEnd"/>
      <w:r w:rsidRPr="00DA1BE5">
        <w:rPr>
          <w:b w:val="0"/>
          <w:color w:val="auto"/>
          <w:sz w:val="24"/>
          <w:szCs w:val="24"/>
        </w:rPr>
        <w:t xml:space="preserve"> </w:t>
      </w:r>
      <w:proofErr w:type="gramStart"/>
      <w:r w:rsidRPr="00DA1BE5">
        <w:rPr>
          <w:b w:val="0"/>
          <w:color w:val="auto"/>
          <w:sz w:val="24"/>
          <w:szCs w:val="24"/>
        </w:rPr>
        <w:t xml:space="preserve">From Tennessee State Library and Archives, </w:t>
      </w:r>
      <w:r w:rsidRPr="00DA1BE5">
        <w:rPr>
          <w:b w:val="0"/>
          <w:i/>
          <w:color w:val="auto"/>
          <w:sz w:val="24"/>
          <w:szCs w:val="24"/>
        </w:rPr>
        <w:t>Tennessee Centennial and International Exposition (1897) Collection 1895-1900</w:t>
      </w:r>
      <w:r w:rsidRPr="00DA1BE5">
        <w:rPr>
          <w:b w:val="0"/>
          <w:color w:val="auto"/>
          <w:sz w:val="24"/>
          <w:szCs w:val="24"/>
        </w:rPr>
        <w:t>.</w:t>
      </w:r>
      <w:proofErr w:type="gramEnd"/>
    </w:p>
    <w:p w:rsidR="00BB4E85" w:rsidRPr="00DA1BE5" w:rsidRDefault="002778F6" w:rsidP="00DA1BE5">
      <w:pPr>
        <w:tabs>
          <w:tab w:val="left" w:pos="810"/>
        </w:tabs>
        <w:spacing w:line="480" w:lineRule="auto"/>
        <w:ind w:left="720" w:hanging="720"/>
        <w:contextualSpacing/>
        <w:rPr>
          <w:sz w:val="24"/>
          <w:szCs w:val="24"/>
        </w:rPr>
      </w:pPr>
      <w:r>
        <w:rPr>
          <w:sz w:val="24"/>
          <w:szCs w:val="24"/>
        </w:rPr>
        <w:t>Thomas, John W.</w:t>
      </w:r>
      <w:r w:rsidR="00BB4E85" w:rsidRPr="00DA1BE5">
        <w:rPr>
          <w:sz w:val="24"/>
          <w:szCs w:val="24"/>
        </w:rPr>
        <w:t xml:space="preserve"> </w:t>
      </w:r>
      <w:r w:rsidR="00BB4E85" w:rsidRPr="00DA1BE5">
        <w:rPr>
          <w:i/>
          <w:sz w:val="24"/>
          <w:szCs w:val="24"/>
        </w:rPr>
        <w:t>John Thomas to Edgar C. Felton, Esq. Dec. 26, 1896</w:t>
      </w:r>
      <w:r w:rsidR="00BB4E85" w:rsidRPr="00DA1BE5">
        <w:rPr>
          <w:sz w:val="24"/>
          <w:szCs w:val="24"/>
        </w:rPr>
        <w:t xml:space="preserve">. </w:t>
      </w:r>
      <w:proofErr w:type="gramStart"/>
      <w:r w:rsidR="00BB4E85" w:rsidRPr="00DA1BE5">
        <w:rPr>
          <w:sz w:val="24"/>
          <w:szCs w:val="24"/>
        </w:rPr>
        <w:t>Letter.</w:t>
      </w:r>
      <w:proofErr w:type="gramEnd"/>
      <w:r w:rsidR="00BB4E85" w:rsidRPr="00DA1BE5">
        <w:rPr>
          <w:sz w:val="24"/>
          <w:szCs w:val="24"/>
        </w:rPr>
        <w:t xml:space="preserve"> </w:t>
      </w:r>
      <w:proofErr w:type="gramStart"/>
      <w:r w:rsidR="00BB4E85" w:rsidRPr="00DA1BE5">
        <w:rPr>
          <w:sz w:val="24"/>
          <w:szCs w:val="24"/>
        </w:rPr>
        <w:t xml:space="preserve">From Tennessee State Library and Archives, </w:t>
      </w:r>
      <w:r w:rsidR="00BB4E85" w:rsidRPr="00DA1BE5">
        <w:rPr>
          <w:i/>
          <w:sz w:val="24"/>
          <w:szCs w:val="24"/>
        </w:rPr>
        <w:t>Tennessee Centennial and International Exposition (1897) Collection 1895-1900</w:t>
      </w:r>
      <w:r w:rsidR="00BB4E85" w:rsidRPr="00DA1BE5">
        <w:rPr>
          <w:sz w:val="24"/>
          <w:szCs w:val="24"/>
        </w:rPr>
        <w:t>.</w:t>
      </w:r>
      <w:proofErr w:type="gramEnd"/>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Thomas, John W.</w:t>
      </w:r>
      <w:r w:rsidR="00BB4E85" w:rsidRPr="00DA1BE5">
        <w:rPr>
          <w:sz w:val="24"/>
          <w:szCs w:val="24"/>
        </w:rPr>
        <w:t xml:space="preserve"> </w:t>
      </w:r>
      <w:r w:rsidR="00BB4E85" w:rsidRPr="00DA1BE5">
        <w:rPr>
          <w:i/>
          <w:sz w:val="24"/>
          <w:szCs w:val="24"/>
        </w:rPr>
        <w:t>John Thomas to J. C. Hemphill, Esq. May 26, 1900</w:t>
      </w:r>
      <w:r w:rsidR="00BB4E85" w:rsidRPr="00DA1BE5">
        <w:rPr>
          <w:sz w:val="24"/>
          <w:szCs w:val="24"/>
        </w:rPr>
        <w:t xml:space="preserve">. </w:t>
      </w:r>
      <w:proofErr w:type="gramStart"/>
      <w:r w:rsidR="00BB4E85" w:rsidRPr="00DA1BE5">
        <w:rPr>
          <w:sz w:val="24"/>
          <w:szCs w:val="24"/>
        </w:rPr>
        <w:t>Letter.</w:t>
      </w:r>
      <w:proofErr w:type="gramEnd"/>
      <w:r w:rsidR="00BB4E85" w:rsidRPr="00DA1BE5">
        <w:rPr>
          <w:sz w:val="24"/>
          <w:szCs w:val="24"/>
        </w:rPr>
        <w:t xml:space="preserve"> </w:t>
      </w:r>
      <w:proofErr w:type="gramStart"/>
      <w:r w:rsidR="00BB4E85" w:rsidRPr="00DA1BE5">
        <w:rPr>
          <w:sz w:val="24"/>
          <w:szCs w:val="24"/>
        </w:rPr>
        <w:t xml:space="preserve">From Tennessee State Library and Archives, </w:t>
      </w:r>
      <w:r w:rsidR="00BB4E85" w:rsidRPr="00DA1BE5">
        <w:rPr>
          <w:i/>
          <w:sz w:val="24"/>
          <w:szCs w:val="24"/>
        </w:rPr>
        <w:t>Tennessee Centennial and International Exposition (1897) Collection 1895-1900</w:t>
      </w:r>
      <w:r w:rsidR="00BB4E85" w:rsidRPr="00DA1BE5">
        <w:rPr>
          <w:sz w:val="24"/>
          <w:szCs w:val="24"/>
        </w:rPr>
        <w:t>.</w:t>
      </w:r>
      <w:proofErr w:type="gramEnd"/>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T</w:t>
      </w:r>
      <w:r w:rsidR="002778F6">
        <w:rPr>
          <w:sz w:val="24"/>
          <w:szCs w:val="24"/>
        </w:rPr>
        <w:t>homas, John W.</w:t>
      </w:r>
      <w:r w:rsidRPr="00DA1BE5">
        <w:rPr>
          <w:sz w:val="24"/>
          <w:szCs w:val="24"/>
        </w:rPr>
        <w:t xml:space="preserve"> </w:t>
      </w:r>
      <w:r w:rsidRPr="00DA1BE5">
        <w:rPr>
          <w:i/>
          <w:sz w:val="24"/>
          <w:szCs w:val="24"/>
        </w:rPr>
        <w:t>John W. Thomas to Hon. J. M. Head</w:t>
      </w:r>
      <w:r w:rsidRPr="00DA1BE5">
        <w:rPr>
          <w:sz w:val="24"/>
          <w:szCs w:val="24"/>
        </w:rPr>
        <w:t xml:space="preserve">. November 4, 1987. </w:t>
      </w:r>
      <w:proofErr w:type="gramStart"/>
      <w:r w:rsidRPr="00DA1BE5">
        <w:rPr>
          <w:sz w:val="24"/>
          <w:szCs w:val="24"/>
        </w:rPr>
        <w:t>Letter.</w:t>
      </w:r>
      <w:proofErr w:type="gramEnd"/>
      <w:r w:rsidRPr="00DA1BE5">
        <w:rPr>
          <w:sz w:val="24"/>
          <w:szCs w:val="24"/>
        </w:rPr>
        <w:t xml:space="preserve"> </w:t>
      </w:r>
      <w:proofErr w:type="gramStart"/>
      <w:r w:rsidRPr="00DA1BE5">
        <w:rPr>
          <w:sz w:val="24"/>
          <w:szCs w:val="24"/>
        </w:rPr>
        <w:t xml:space="preserve">From Tennessee State Library and Archives, </w:t>
      </w:r>
      <w:r w:rsidRPr="00DA1BE5">
        <w:rPr>
          <w:i/>
          <w:sz w:val="24"/>
          <w:szCs w:val="24"/>
        </w:rPr>
        <w:t>Tennessee Centennial and International Exposition (1897) Collection 1895-1900</w:t>
      </w:r>
      <w:r w:rsidRPr="00DA1BE5">
        <w:rPr>
          <w:sz w:val="24"/>
          <w:szCs w:val="24"/>
        </w:rPr>
        <w:t>.</w:t>
      </w:r>
      <w:proofErr w:type="gramEnd"/>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Thucydides</w:t>
      </w:r>
      <w:r w:rsidR="002778F6">
        <w:rPr>
          <w:sz w:val="24"/>
          <w:szCs w:val="24"/>
        </w:rPr>
        <w:t>.</w:t>
      </w:r>
      <w:r w:rsidRPr="00DA1BE5">
        <w:rPr>
          <w:sz w:val="24"/>
          <w:szCs w:val="24"/>
        </w:rPr>
        <w:t xml:space="preserve"> </w:t>
      </w:r>
      <w:r w:rsidRPr="00DA1BE5">
        <w:rPr>
          <w:i/>
          <w:sz w:val="24"/>
          <w:szCs w:val="24"/>
        </w:rPr>
        <w:t xml:space="preserve">History of the Peloponnesian War Books </w:t>
      </w:r>
      <w:proofErr w:type="gramStart"/>
      <w:r w:rsidRPr="00DA1BE5">
        <w:rPr>
          <w:i/>
          <w:sz w:val="24"/>
          <w:szCs w:val="24"/>
        </w:rPr>
        <w:t>I and II</w:t>
      </w:r>
      <w:r w:rsidRPr="00DA1BE5">
        <w:rPr>
          <w:sz w:val="24"/>
          <w:szCs w:val="24"/>
        </w:rPr>
        <w:t>, trans. Charles Forster Smith</w:t>
      </w:r>
      <w:proofErr w:type="gramEnd"/>
      <w:r w:rsidRPr="00DA1BE5">
        <w:rPr>
          <w:sz w:val="24"/>
          <w:szCs w:val="24"/>
        </w:rPr>
        <w:t xml:space="preserve">. </w:t>
      </w:r>
      <w:proofErr w:type="gramStart"/>
      <w:r w:rsidR="00130592" w:rsidRPr="00130592">
        <w:rPr>
          <w:sz w:val="24"/>
          <w:szCs w:val="24"/>
        </w:rPr>
        <w:t>Loeb Classical Library.</w:t>
      </w:r>
      <w:proofErr w:type="gramEnd"/>
      <w:r w:rsidR="00130592" w:rsidRPr="00130592">
        <w:rPr>
          <w:sz w:val="24"/>
          <w:szCs w:val="24"/>
        </w:rPr>
        <w:t xml:space="preserve"> </w:t>
      </w:r>
      <w:r w:rsidRPr="00130592">
        <w:rPr>
          <w:sz w:val="24"/>
          <w:szCs w:val="24"/>
        </w:rPr>
        <w:t>Cambridge</w:t>
      </w:r>
      <w:r w:rsidRPr="00DA1BE5">
        <w:rPr>
          <w:sz w:val="24"/>
          <w:szCs w:val="24"/>
        </w:rPr>
        <w:t>: Harvard UP, 1991.</w:t>
      </w:r>
    </w:p>
    <w:p w:rsidR="00BB4E85" w:rsidRPr="00DA1BE5" w:rsidRDefault="00BB4E85" w:rsidP="00DA1BE5">
      <w:pPr>
        <w:pStyle w:val="FootnoteText"/>
        <w:tabs>
          <w:tab w:val="left" w:pos="810"/>
        </w:tabs>
        <w:spacing w:line="480" w:lineRule="auto"/>
        <w:ind w:left="720" w:hanging="720"/>
        <w:contextualSpacing/>
        <w:rPr>
          <w:sz w:val="24"/>
          <w:szCs w:val="24"/>
        </w:rPr>
      </w:pPr>
      <w:r w:rsidRPr="00DA1BE5">
        <w:rPr>
          <w:sz w:val="24"/>
          <w:szCs w:val="24"/>
        </w:rPr>
        <w:t>To</w:t>
      </w:r>
      <w:r w:rsidR="002778F6">
        <w:rPr>
          <w:sz w:val="24"/>
          <w:szCs w:val="24"/>
        </w:rPr>
        <w:t>urnikiotis, Panayotis, Gen. Ed.</w:t>
      </w:r>
      <w:r w:rsidRPr="00DA1BE5">
        <w:rPr>
          <w:sz w:val="24"/>
          <w:szCs w:val="24"/>
        </w:rPr>
        <w:t xml:space="preserve"> </w:t>
      </w:r>
      <w:proofErr w:type="gramStart"/>
      <w:r w:rsidRPr="00DA1BE5">
        <w:rPr>
          <w:i/>
          <w:sz w:val="24"/>
          <w:szCs w:val="24"/>
        </w:rPr>
        <w:t>The</w:t>
      </w:r>
      <w:proofErr w:type="gramEnd"/>
      <w:r w:rsidRPr="00DA1BE5">
        <w:rPr>
          <w:sz w:val="24"/>
          <w:szCs w:val="24"/>
        </w:rPr>
        <w:t xml:space="preserve"> </w:t>
      </w:r>
      <w:r w:rsidRPr="00DA1BE5">
        <w:rPr>
          <w:i/>
          <w:sz w:val="24"/>
          <w:szCs w:val="24"/>
        </w:rPr>
        <w:t>Parthenon and Its Impact in Modern Times</w:t>
      </w:r>
      <w:r w:rsidRPr="00DA1BE5">
        <w:rPr>
          <w:sz w:val="24"/>
          <w:szCs w:val="24"/>
        </w:rPr>
        <w:t>. Athens: Melissa Publishing, 1994.</w:t>
      </w:r>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Waller, William, ed.</w:t>
      </w:r>
      <w:r w:rsidR="00BB4E85" w:rsidRPr="00DA1BE5">
        <w:rPr>
          <w:sz w:val="24"/>
          <w:szCs w:val="24"/>
        </w:rPr>
        <w:t xml:space="preserve"> </w:t>
      </w:r>
      <w:r w:rsidR="00BB4E85" w:rsidRPr="00DA1BE5">
        <w:rPr>
          <w:i/>
          <w:sz w:val="24"/>
          <w:szCs w:val="24"/>
        </w:rPr>
        <w:t>Nashville in the 1890s</w:t>
      </w:r>
      <w:r w:rsidR="00BB4E85" w:rsidRPr="00DA1BE5">
        <w:rPr>
          <w:sz w:val="24"/>
          <w:szCs w:val="24"/>
        </w:rPr>
        <w:t xml:space="preserve">. Nashville: Vanderbilt UP, 1970. </w:t>
      </w:r>
    </w:p>
    <w:p w:rsidR="00BB4E85" w:rsidRPr="00DA1BE5" w:rsidRDefault="002778F6" w:rsidP="00DA1BE5">
      <w:pPr>
        <w:pStyle w:val="FootnoteText"/>
        <w:tabs>
          <w:tab w:val="left" w:pos="810"/>
        </w:tabs>
        <w:spacing w:line="480" w:lineRule="auto"/>
        <w:ind w:left="720" w:hanging="720"/>
        <w:contextualSpacing/>
        <w:rPr>
          <w:sz w:val="24"/>
          <w:szCs w:val="24"/>
        </w:rPr>
      </w:pPr>
      <w:r>
        <w:rPr>
          <w:sz w:val="24"/>
          <w:szCs w:val="24"/>
        </w:rPr>
        <w:t>Warren, Robert Penn.</w:t>
      </w:r>
      <w:r w:rsidR="00BB4E85" w:rsidRPr="00DA1BE5">
        <w:rPr>
          <w:sz w:val="24"/>
          <w:szCs w:val="24"/>
        </w:rPr>
        <w:t xml:space="preserve"> </w:t>
      </w:r>
      <w:r w:rsidR="00BB4E85" w:rsidRPr="00DA1BE5">
        <w:rPr>
          <w:i/>
          <w:sz w:val="24"/>
          <w:szCs w:val="24"/>
        </w:rPr>
        <w:t>How Texas Won her Freedom: The Story of Sam Houston and the Battle of San Jacinto</w:t>
      </w:r>
      <w:r w:rsidR="00BB4E85" w:rsidRPr="00DA1BE5">
        <w:rPr>
          <w:sz w:val="24"/>
          <w:szCs w:val="24"/>
        </w:rPr>
        <w:t xml:space="preserve">. </w:t>
      </w:r>
      <w:proofErr w:type="gramStart"/>
      <w:r w:rsidR="00BB4E85" w:rsidRPr="00DA1BE5">
        <w:rPr>
          <w:sz w:val="24"/>
          <w:szCs w:val="24"/>
        </w:rPr>
        <w:t>San Jacinto Museum of History, 1959.</w:t>
      </w:r>
      <w:proofErr w:type="gramEnd"/>
    </w:p>
    <w:p w:rsidR="00BB4E85" w:rsidRPr="00DA1BE5" w:rsidRDefault="002778F6" w:rsidP="00DA1BE5">
      <w:pPr>
        <w:tabs>
          <w:tab w:val="left" w:pos="810"/>
        </w:tabs>
        <w:spacing w:line="480" w:lineRule="auto"/>
        <w:ind w:left="720" w:hanging="720"/>
        <w:contextualSpacing/>
        <w:rPr>
          <w:sz w:val="24"/>
          <w:szCs w:val="24"/>
        </w:rPr>
      </w:pPr>
      <w:r>
        <w:rPr>
          <w:sz w:val="24"/>
          <w:szCs w:val="24"/>
        </w:rPr>
        <w:t>Wilson III, Benjamin Franklin.</w:t>
      </w:r>
      <w:r w:rsidR="00BB4E85" w:rsidRPr="00DA1BE5">
        <w:rPr>
          <w:sz w:val="24"/>
          <w:szCs w:val="24"/>
        </w:rPr>
        <w:t xml:space="preserve"> </w:t>
      </w:r>
      <w:proofErr w:type="gramStart"/>
      <w:r w:rsidR="00BB4E85" w:rsidRPr="00DA1BE5">
        <w:rPr>
          <w:i/>
          <w:sz w:val="24"/>
          <w:szCs w:val="24"/>
        </w:rPr>
        <w:t>The Parthenon of Pericles and its Reproduction in America</w:t>
      </w:r>
      <w:r w:rsidR="00BB4E85" w:rsidRPr="00DA1BE5">
        <w:rPr>
          <w:sz w:val="24"/>
          <w:szCs w:val="24"/>
        </w:rPr>
        <w:t>.</w:t>
      </w:r>
      <w:proofErr w:type="gramEnd"/>
      <w:r w:rsidR="00BB4E85" w:rsidRPr="00DA1BE5">
        <w:rPr>
          <w:sz w:val="24"/>
          <w:szCs w:val="24"/>
        </w:rPr>
        <w:t xml:space="preserve"> Nashville: Parthenon Press, 1937.</w:t>
      </w:r>
    </w:p>
    <w:p w:rsidR="007F1130" w:rsidRPr="007F1130" w:rsidRDefault="007F1130" w:rsidP="00DA1BE5">
      <w:pPr>
        <w:spacing w:line="480" w:lineRule="auto"/>
        <w:contextualSpacing/>
        <w:rPr>
          <w:sz w:val="24"/>
        </w:rPr>
      </w:pPr>
    </w:p>
    <w:sectPr w:rsidR="007F1130" w:rsidRPr="007F1130" w:rsidSect="004D5A62">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B3C" w:rsidRDefault="002C2B3C" w:rsidP="00311AAD">
      <w:pPr>
        <w:spacing w:after="0" w:line="240" w:lineRule="auto"/>
      </w:pPr>
      <w:r>
        <w:separator/>
      </w:r>
    </w:p>
  </w:endnote>
  <w:endnote w:type="continuationSeparator" w:id="0">
    <w:p w:rsidR="002C2B3C" w:rsidRDefault="002C2B3C" w:rsidP="00311A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651705"/>
      <w:docPartObj>
        <w:docPartGallery w:val="Page Numbers (Bottom of Page)"/>
        <w:docPartUnique/>
      </w:docPartObj>
    </w:sdtPr>
    <w:sdtEndPr>
      <w:rPr>
        <w:noProof/>
        <w:sz w:val="24"/>
      </w:rPr>
    </w:sdtEndPr>
    <w:sdtContent>
      <w:p w:rsidR="002F5AC7" w:rsidRPr="00A71CCD" w:rsidRDefault="002F5AC7">
        <w:pPr>
          <w:pStyle w:val="Footer"/>
          <w:jc w:val="center"/>
          <w:rPr>
            <w:sz w:val="24"/>
          </w:rPr>
        </w:pPr>
        <w:r w:rsidRPr="00A71CCD">
          <w:rPr>
            <w:sz w:val="24"/>
          </w:rPr>
          <w:fldChar w:fldCharType="begin"/>
        </w:r>
        <w:r w:rsidRPr="00A71CCD">
          <w:rPr>
            <w:sz w:val="24"/>
          </w:rPr>
          <w:instrText xml:space="preserve"> PAGE   \* MERGEFORMAT </w:instrText>
        </w:r>
        <w:r w:rsidRPr="00A71CCD">
          <w:rPr>
            <w:sz w:val="24"/>
          </w:rPr>
          <w:fldChar w:fldCharType="separate"/>
        </w:r>
        <w:r w:rsidR="00FA56AB">
          <w:rPr>
            <w:noProof/>
            <w:sz w:val="24"/>
          </w:rPr>
          <w:t>i</w:t>
        </w:r>
        <w:r w:rsidRPr="00A71CCD">
          <w:rPr>
            <w:noProof/>
            <w:sz w:val="24"/>
          </w:rPr>
          <w:fldChar w:fldCharType="end"/>
        </w:r>
      </w:p>
    </w:sdtContent>
  </w:sdt>
  <w:p w:rsidR="002F5AC7" w:rsidRDefault="002F5A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B3C" w:rsidRDefault="002C2B3C" w:rsidP="00311AAD">
      <w:pPr>
        <w:spacing w:after="0" w:line="240" w:lineRule="auto"/>
      </w:pPr>
      <w:r>
        <w:separator/>
      </w:r>
    </w:p>
  </w:footnote>
  <w:footnote w:type="continuationSeparator" w:id="0">
    <w:p w:rsidR="002C2B3C" w:rsidRDefault="002C2B3C" w:rsidP="00311AAD">
      <w:pPr>
        <w:spacing w:after="0" w:line="240" w:lineRule="auto"/>
      </w:pPr>
      <w:r>
        <w:continuationSeparator/>
      </w:r>
    </w:p>
  </w:footnote>
  <w:footnote w:id="1">
    <w:p w:rsidR="002F5AC7" w:rsidRDefault="002F5AC7">
      <w:pPr>
        <w:pStyle w:val="FootnoteText"/>
      </w:pPr>
      <w:r>
        <w:rPr>
          <w:rStyle w:val="FootnoteReference"/>
        </w:rPr>
        <w:footnoteRef/>
      </w:r>
      <w:r>
        <w:t xml:space="preserve"> </w:t>
      </w:r>
      <w:r w:rsidRPr="00CA4F1D">
        <w:t>Plutarch</w:t>
      </w:r>
      <w:r>
        <w:t>,</w:t>
      </w:r>
      <w:r w:rsidRPr="00CA4F1D">
        <w:t xml:space="preserve"> </w:t>
      </w:r>
      <w:r>
        <w:rPr>
          <w:i/>
        </w:rPr>
        <w:t xml:space="preserve">Plutarch’s Lives: </w:t>
      </w:r>
      <w:r w:rsidRPr="00EB5BD3">
        <w:rPr>
          <w:i/>
        </w:rPr>
        <w:t>Pericles</w:t>
      </w:r>
      <w:r>
        <w:t xml:space="preserve">, trans. </w:t>
      </w:r>
      <w:proofErr w:type="spellStart"/>
      <w:r>
        <w:t>Bernadontte</w:t>
      </w:r>
      <w:proofErr w:type="spellEnd"/>
      <w:r>
        <w:t xml:space="preserve"> Perrin.</w:t>
      </w:r>
      <w:r w:rsidRPr="00CA4F1D">
        <w:t xml:space="preserve"> </w:t>
      </w:r>
      <w:proofErr w:type="gramStart"/>
      <w:r w:rsidRPr="002F5AC7">
        <w:t>Loeb Classical Librar</w:t>
      </w:r>
      <w:r>
        <w:t>y.</w:t>
      </w:r>
      <w:proofErr w:type="gramEnd"/>
      <w:r>
        <w:rPr>
          <w:i/>
        </w:rPr>
        <w:t xml:space="preserve"> </w:t>
      </w:r>
      <w:proofErr w:type="gramStart"/>
      <w:r>
        <w:t xml:space="preserve">(Cambridge: Harvard UP, 1984), </w:t>
      </w:r>
      <w:r w:rsidRPr="00CA4F1D">
        <w:t>13.3</w:t>
      </w:r>
      <w:r>
        <w:t>.</w:t>
      </w:r>
      <w:proofErr w:type="gramEnd"/>
    </w:p>
  </w:footnote>
  <w:footnote w:id="2">
    <w:p w:rsidR="002F5AC7" w:rsidRDefault="002F5AC7">
      <w:pPr>
        <w:pStyle w:val="FootnoteText"/>
      </w:pPr>
      <w:r>
        <w:rPr>
          <w:rStyle w:val="FootnoteReference"/>
        </w:rPr>
        <w:footnoteRef/>
      </w:r>
      <w:r>
        <w:t xml:space="preserve"> </w:t>
      </w:r>
      <w:r w:rsidRPr="005E2551">
        <w:t xml:space="preserve">John Egerton, </w:t>
      </w:r>
      <w:r w:rsidRPr="00380D39">
        <w:rPr>
          <w:i/>
        </w:rPr>
        <w:t>Nashville: The Faces of Two Centuries 1780-1980</w:t>
      </w:r>
      <w:r w:rsidRPr="005E2551">
        <w:t xml:space="preserve"> (Nashville: </w:t>
      </w:r>
      <w:proofErr w:type="spellStart"/>
      <w:r w:rsidRPr="005E2551">
        <w:t>PlusMedia</w:t>
      </w:r>
      <w:proofErr w:type="spellEnd"/>
      <w:r w:rsidRPr="005E2551">
        <w:t xml:space="preserve"> Incorporated, 1979), </w:t>
      </w:r>
      <w:r>
        <w:t>13.</w:t>
      </w:r>
    </w:p>
  </w:footnote>
  <w:footnote w:id="3">
    <w:p w:rsidR="002F5AC7" w:rsidRDefault="002F5AC7">
      <w:pPr>
        <w:pStyle w:val="FootnoteText"/>
      </w:pPr>
      <w:r>
        <w:rPr>
          <w:rStyle w:val="FootnoteReference"/>
        </w:rPr>
        <w:footnoteRef/>
      </w:r>
      <w:r>
        <w:t xml:space="preserve"> </w:t>
      </w:r>
      <w:proofErr w:type="gramStart"/>
      <w:r>
        <w:t xml:space="preserve">Carole Stanford </w:t>
      </w:r>
      <w:proofErr w:type="spellStart"/>
      <w:r>
        <w:t>Bucy</w:t>
      </w:r>
      <w:proofErr w:type="spellEnd"/>
      <w:r>
        <w:t xml:space="preserve">, “Ann Robertson Johnston Cockrill,” </w:t>
      </w:r>
      <w:r w:rsidRPr="00BE3376">
        <w:rPr>
          <w:i/>
        </w:rPr>
        <w:t>The Tennessee Encyclopedia of History and Culture</w:t>
      </w:r>
      <w:r>
        <w:t xml:space="preserve">, January 10, 2010, </w:t>
      </w:r>
      <w:hyperlink r:id="rId1" w:history="1">
        <w:r w:rsidRPr="00850ECC">
          <w:rPr>
            <w:rStyle w:val="Hyperlink"/>
          </w:rPr>
          <w:t>http://tennesseeencyclopedia.net/entry.php?rec=284</w:t>
        </w:r>
      </w:hyperlink>
      <w:r>
        <w:t>.</w:t>
      </w:r>
      <w:proofErr w:type="gramEnd"/>
    </w:p>
  </w:footnote>
  <w:footnote w:id="4">
    <w:p w:rsidR="002F5AC7" w:rsidRDefault="002F5AC7" w:rsidP="00984F65">
      <w:pPr>
        <w:pStyle w:val="FootnoteText"/>
      </w:pPr>
      <w:r>
        <w:rPr>
          <w:rStyle w:val="FootnoteReference"/>
        </w:rPr>
        <w:footnoteRef/>
      </w:r>
      <w:r>
        <w:t xml:space="preserve"> Cockrill Spring Marker lies in Centennial Park on the southern edge next to West End Avenue. The house would have stood sixty yards north of this marker. </w:t>
      </w:r>
    </w:p>
  </w:footnote>
  <w:footnote w:id="5">
    <w:p w:rsidR="002F5AC7" w:rsidRDefault="002F5AC7" w:rsidP="007579C6">
      <w:pPr>
        <w:pStyle w:val="FootnoteText"/>
      </w:pPr>
      <w:r>
        <w:rPr>
          <w:rStyle w:val="FootnoteReference"/>
        </w:rPr>
        <w:footnoteRef/>
      </w:r>
      <w:r>
        <w:t xml:space="preserve"> Erected in 1946 by the “School Children of Nashville and Davidson County and the Tennessee Historical Commission,” the Cockrill Monument paying tribute to Ann Robertson Cockrill stands five hundred feet north of the West End Avenue entrance to Centennial Park. Francis B. Warfield proposed the monument to the Park Board on October 18, 1945. </w:t>
      </w:r>
    </w:p>
  </w:footnote>
  <w:footnote w:id="6">
    <w:p w:rsidR="002F5AC7" w:rsidRDefault="002F5AC7" w:rsidP="00CF6B62">
      <w:pPr>
        <w:pStyle w:val="FootnoteText"/>
      </w:pPr>
      <w:r>
        <w:rPr>
          <w:rStyle w:val="FootnoteReference"/>
        </w:rPr>
        <w:footnoteRef/>
      </w:r>
      <w:r>
        <w:t xml:space="preserve"> </w:t>
      </w:r>
      <w:r w:rsidRPr="00DD07F3">
        <w:t xml:space="preserve">Christine </w:t>
      </w:r>
      <w:r>
        <w:t>Kreyling</w:t>
      </w:r>
      <w:r w:rsidRPr="00DD07F3">
        <w:t>, Wesley Paine, Charles W. Waterfield</w:t>
      </w:r>
      <w:r>
        <w:t>, Jr., and Susan Ford Wiltshire,</w:t>
      </w:r>
      <w:r w:rsidRPr="00DD07F3">
        <w:t xml:space="preserve"> </w:t>
      </w:r>
      <w:r w:rsidRPr="00531943">
        <w:rPr>
          <w:i/>
        </w:rPr>
        <w:t>Classical Nashville: Athens of the South</w:t>
      </w:r>
      <w:r w:rsidRPr="00DD07F3">
        <w:t xml:space="preserve"> </w:t>
      </w:r>
      <w:r>
        <w:t>(</w:t>
      </w:r>
      <w:r w:rsidRPr="00DD07F3">
        <w:t>Nashville: Vanderbilt UP, 1996</w:t>
      </w:r>
      <w:r>
        <w:t>), 34.</w:t>
      </w:r>
    </w:p>
  </w:footnote>
  <w:footnote w:id="7">
    <w:p w:rsidR="002F5AC7" w:rsidRPr="009C556D" w:rsidRDefault="002F5AC7" w:rsidP="00CF6B62">
      <w:pPr>
        <w:pStyle w:val="FootnoteText"/>
      </w:pPr>
      <w:r>
        <w:rPr>
          <w:rStyle w:val="FootnoteReference"/>
        </w:rPr>
        <w:footnoteRef/>
      </w:r>
      <w:r>
        <w:t xml:space="preserve"> Lois A. Craig, </w:t>
      </w:r>
      <w:proofErr w:type="gramStart"/>
      <w:r w:rsidRPr="00166AC8">
        <w:rPr>
          <w:i/>
        </w:rPr>
        <w:t>The</w:t>
      </w:r>
      <w:proofErr w:type="gramEnd"/>
      <w:r w:rsidRPr="00166AC8">
        <w:rPr>
          <w:i/>
        </w:rPr>
        <w:t xml:space="preserve"> Federal Presence: Architecture, Politics, and Symbols</w:t>
      </w:r>
      <w:r>
        <w:t xml:space="preserve"> (Cambridge: Massachusetts Institute of Technology P, 1978), 23.</w:t>
      </w:r>
    </w:p>
  </w:footnote>
  <w:footnote w:id="8">
    <w:p w:rsidR="002F5AC7" w:rsidRDefault="002F5AC7" w:rsidP="00CF6B62">
      <w:pPr>
        <w:pStyle w:val="FootnoteText"/>
      </w:pPr>
      <w:r>
        <w:rPr>
          <w:rStyle w:val="FootnoteReference"/>
        </w:rPr>
        <w:footnoteRef/>
      </w:r>
      <w:r>
        <w:t xml:space="preserve"> </w:t>
      </w:r>
      <w:r w:rsidRPr="00DD07F3">
        <w:t xml:space="preserve">Christine </w:t>
      </w:r>
      <w:r>
        <w:t>Kreyling</w:t>
      </w:r>
      <w:r w:rsidRPr="00DD07F3">
        <w:t>, Wesley Paine, Charles W. Waterfield</w:t>
      </w:r>
      <w:r>
        <w:t>, Jr., and Susan Ford Wiltshire,</w:t>
      </w:r>
      <w:r w:rsidRPr="00DD07F3">
        <w:t xml:space="preserve"> </w:t>
      </w:r>
      <w:r w:rsidRPr="00531943">
        <w:rPr>
          <w:i/>
        </w:rPr>
        <w:t>Classical Nashville: Athens of the South</w:t>
      </w:r>
      <w:r w:rsidRPr="00DD07F3">
        <w:t xml:space="preserve"> </w:t>
      </w:r>
      <w:r>
        <w:t>(</w:t>
      </w:r>
      <w:r w:rsidRPr="00DD07F3">
        <w:t>Nashville: Vanderbilt UP, 1996</w:t>
      </w:r>
      <w:r>
        <w:t>), 3.</w:t>
      </w:r>
    </w:p>
  </w:footnote>
  <w:footnote w:id="9">
    <w:p w:rsidR="002F5AC7" w:rsidRDefault="002F5AC7">
      <w:pPr>
        <w:pStyle w:val="FootnoteText"/>
      </w:pPr>
      <w:r>
        <w:rPr>
          <w:rStyle w:val="FootnoteReference"/>
        </w:rPr>
        <w:footnoteRef/>
      </w:r>
      <w:r>
        <w:t xml:space="preserve"> Robert Penn Warren, </w:t>
      </w:r>
      <w:r w:rsidRPr="00B409D7">
        <w:rPr>
          <w:i/>
        </w:rPr>
        <w:t>How Texas Won her Freedom: The Story of Sam Houston and the Battle of San Jacinto</w:t>
      </w:r>
      <w:r>
        <w:t xml:space="preserve"> (San Jacinto Museum of History, 1959), 2. </w:t>
      </w:r>
    </w:p>
  </w:footnote>
  <w:footnote w:id="10">
    <w:p w:rsidR="002F5AC7" w:rsidRDefault="002F5AC7">
      <w:pPr>
        <w:pStyle w:val="FootnoteText"/>
      </w:pPr>
      <w:r>
        <w:rPr>
          <w:rStyle w:val="FootnoteReference"/>
        </w:rPr>
        <w:footnoteRef/>
      </w:r>
      <w:r>
        <w:t xml:space="preserve"> Henry </w:t>
      </w:r>
      <w:proofErr w:type="spellStart"/>
      <w:r>
        <w:t>McRaven</w:t>
      </w:r>
      <w:proofErr w:type="spellEnd"/>
      <w:r>
        <w:t xml:space="preserve">, </w:t>
      </w:r>
      <w:r w:rsidRPr="00226B67">
        <w:rPr>
          <w:i/>
        </w:rPr>
        <w:t>Nashville: Athens of the South</w:t>
      </w:r>
      <w:r>
        <w:t xml:space="preserve"> (Chapel Hill, N.C.: </w:t>
      </w:r>
      <w:proofErr w:type="spellStart"/>
      <w:r>
        <w:t>Scheer</w:t>
      </w:r>
      <w:proofErr w:type="spellEnd"/>
      <w:r>
        <w:t xml:space="preserve"> &amp; Jervis, 1949), 56. </w:t>
      </w:r>
    </w:p>
  </w:footnote>
  <w:footnote w:id="11">
    <w:p w:rsidR="002F5AC7" w:rsidRDefault="002F5AC7">
      <w:pPr>
        <w:pStyle w:val="FootnoteText"/>
      </w:pPr>
      <w:r>
        <w:rPr>
          <w:rStyle w:val="FootnoteReference"/>
        </w:rPr>
        <w:footnoteRef/>
      </w:r>
      <w:r>
        <w:t xml:space="preserve"> </w:t>
      </w:r>
      <w:r w:rsidRPr="00507022">
        <w:t xml:space="preserve">Christine Kreyling, Wesley Paine, Charles W. Waterfield, Jr., and Susan Ford Wiltshire, </w:t>
      </w:r>
      <w:r w:rsidRPr="00CF6B62">
        <w:rPr>
          <w:i/>
        </w:rPr>
        <w:t>Classical Nashville: Athens of the South</w:t>
      </w:r>
      <w:r w:rsidRPr="00507022">
        <w:t xml:space="preserve"> (Nashville: Vanderbilt UP, 1996), </w:t>
      </w:r>
      <w:r>
        <w:t>37.</w:t>
      </w:r>
    </w:p>
  </w:footnote>
  <w:footnote w:id="12">
    <w:p w:rsidR="002F5AC7" w:rsidRDefault="002F5AC7">
      <w:pPr>
        <w:pStyle w:val="FootnoteText"/>
      </w:pPr>
      <w:r>
        <w:rPr>
          <w:rStyle w:val="FootnoteReference"/>
        </w:rPr>
        <w:footnoteRef/>
      </w:r>
      <w:r>
        <w:t xml:space="preserve"> </w:t>
      </w:r>
      <w:proofErr w:type="gramStart"/>
      <w:r>
        <w:t>Ibid.</w:t>
      </w:r>
      <w:r w:rsidRPr="00507022">
        <w:t>,</w:t>
      </w:r>
      <w:proofErr w:type="gramEnd"/>
      <w:r w:rsidRPr="00507022">
        <w:t xml:space="preserve"> </w:t>
      </w:r>
      <w:r>
        <w:t>100.</w:t>
      </w:r>
    </w:p>
  </w:footnote>
  <w:footnote w:id="13">
    <w:p w:rsidR="002F5AC7" w:rsidRDefault="002F5AC7">
      <w:pPr>
        <w:pStyle w:val="FootnoteText"/>
      </w:pPr>
      <w:r>
        <w:rPr>
          <w:rStyle w:val="FootnoteReference"/>
        </w:rPr>
        <w:footnoteRef/>
      </w:r>
      <w:r>
        <w:t xml:space="preserve"> </w:t>
      </w:r>
      <w:proofErr w:type="gramStart"/>
      <w:r w:rsidRPr="00507022">
        <w:t>Ibid.,</w:t>
      </w:r>
      <w:proofErr w:type="gramEnd"/>
      <w:r w:rsidRPr="00507022">
        <w:t xml:space="preserve"> </w:t>
      </w:r>
      <w:r>
        <w:t>101.</w:t>
      </w:r>
    </w:p>
  </w:footnote>
  <w:footnote w:id="14">
    <w:p w:rsidR="002F5AC7" w:rsidRDefault="002F5AC7">
      <w:pPr>
        <w:pStyle w:val="FootnoteText"/>
      </w:pPr>
      <w:r>
        <w:rPr>
          <w:rStyle w:val="FootnoteReference"/>
        </w:rPr>
        <w:footnoteRef/>
      </w:r>
      <w:r>
        <w:t xml:space="preserve"> </w:t>
      </w:r>
      <w:proofErr w:type="gramStart"/>
      <w:r>
        <w:t>Ibid.</w:t>
      </w:r>
      <w:r w:rsidRPr="00507022">
        <w:t>,</w:t>
      </w:r>
      <w:proofErr w:type="gramEnd"/>
      <w:r w:rsidRPr="00507022">
        <w:t xml:space="preserve"> </w:t>
      </w:r>
      <w:r>
        <w:t>40.</w:t>
      </w:r>
    </w:p>
  </w:footnote>
  <w:footnote w:id="15">
    <w:p w:rsidR="002F5AC7" w:rsidRDefault="002F5AC7" w:rsidP="00672DAB">
      <w:pPr>
        <w:pStyle w:val="FootnoteText"/>
      </w:pPr>
      <w:r>
        <w:rPr>
          <w:rStyle w:val="FootnoteReference"/>
        </w:rPr>
        <w:footnoteRef/>
      </w:r>
      <w:r>
        <w:t xml:space="preserve"> </w:t>
      </w:r>
      <w:proofErr w:type="gramStart"/>
      <w:r>
        <w:t>Ibid.,</w:t>
      </w:r>
      <w:proofErr w:type="gramEnd"/>
      <w:r w:rsidRPr="00507022">
        <w:t xml:space="preserve"> </w:t>
      </w:r>
      <w:r>
        <w:t>6.</w:t>
      </w:r>
    </w:p>
  </w:footnote>
  <w:footnote w:id="16">
    <w:p w:rsidR="002F5AC7" w:rsidRDefault="002F5AC7" w:rsidP="00672DAB">
      <w:pPr>
        <w:pStyle w:val="FootnoteText"/>
      </w:pPr>
      <w:r>
        <w:rPr>
          <w:rStyle w:val="FootnoteReference"/>
        </w:rPr>
        <w:footnoteRef/>
      </w:r>
      <w:r>
        <w:t xml:space="preserve"> </w:t>
      </w:r>
      <w:proofErr w:type="gramStart"/>
      <w:r w:rsidRPr="00910F01">
        <w:t>Ibid.,</w:t>
      </w:r>
      <w:proofErr w:type="gramEnd"/>
      <w:r w:rsidRPr="00910F01">
        <w:t xml:space="preserve"> </w:t>
      </w:r>
      <w:r>
        <w:t>6.</w:t>
      </w:r>
    </w:p>
  </w:footnote>
  <w:footnote w:id="17">
    <w:p w:rsidR="002F5AC7" w:rsidRDefault="002F5AC7">
      <w:pPr>
        <w:pStyle w:val="FootnoteText"/>
      </w:pPr>
      <w:r>
        <w:rPr>
          <w:rStyle w:val="FootnoteReference"/>
        </w:rPr>
        <w:footnoteRef/>
      </w:r>
      <w:r>
        <w:t xml:space="preserve"> </w:t>
      </w:r>
      <w:r w:rsidRPr="00910F01">
        <w:t>H.W. Crew</w:t>
      </w:r>
      <w:r w:rsidRPr="00910F01">
        <w:rPr>
          <w:i/>
        </w:rPr>
        <w:t xml:space="preserve">, </w:t>
      </w:r>
      <w:proofErr w:type="gramStart"/>
      <w:r w:rsidRPr="00910F01">
        <w:rPr>
          <w:i/>
        </w:rPr>
        <w:t>The</w:t>
      </w:r>
      <w:proofErr w:type="gramEnd"/>
      <w:r w:rsidRPr="00910F01">
        <w:rPr>
          <w:i/>
        </w:rPr>
        <w:t xml:space="preserve"> History of Nashville Tennessee</w:t>
      </w:r>
      <w:r w:rsidRPr="00910F01">
        <w:t xml:space="preserve"> (Nashville: Publishing House of the Methodist Episcopal Church, </w:t>
      </w:r>
      <w:r>
        <w:t>South, Barbee &amp; Smith, 1890), 388-389. This source is the first comprehensive history of Nashville and is a facsimile edition of the original 1890 printing that is filled with primary source material.</w:t>
      </w:r>
    </w:p>
    <w:p w:rsidR="002F5AC7" w:rsidRDefault="002F5AC7">
      <w:pPr>
        <w:pStyle w:val="FootnoteText"/>
      </w:pPr>
    </w:p>
  </w:footnote>
  <w:footnote w:id="18">
    <w:p w:rsidR="002F5AC7" w:rsidRDefault="002F5AC7" w:rsidP="00B158C0">
      <w:pPr>
        <w:pStyle w:val="FootnoteText"/>
      </w:pPr>
      <w:r>
        <w:rPr>
          <w:rStyle w:val="FootnoteReference"/>
        </w:rPr>
        <w:footnoteRef/>
      </w:r>
      <w:r>
        <w:t xml:space="preserve"> John Egerton, </w:t>
      </w:r>
      <w:r w:rsidRPr="005E2551">
        <w:rPr>
          <w:i/>
        </w:rPr>
        <w:t>Nashville: The Faces of Two Centuries 1780-1980</w:t>
      </w:r>
      <w:r>
        <w:t xml:space="preserve"> (Nashville: </w:t>
      </w:r>
      <w:proofErr w:type="spellStart"/>
      <w:r>
        <w:t>PlusMedia</w:t>
      </w:r>
      <w:proofErr w:type="spellEnd"/>
      <w:r>
        <w:t xml:space="preserve"> Incorporated, 1979), 101.</w:t>
      </w:r>
    </w:p>
  </w:footnote>
  <w:footnote w:id="19">
    <w:p w:rsidR="002F5AC7" w:rsidRDefault="002F5AC7" w:rsidP="007C0FBB">
      <w:pPr>
        <w:pStyle w:val="FootnoteText"/>
      </w:pPr>
      <w:r>
        <w:rPr>
          <w:rStyle w:val="FootnoteReference"/>
        </w:rPr>
        <w:footnoteRef/>
      </w:r>
      <w:r>
        <w:t xml:space="preserve"> </w:t>
      </w:r>
      <w:r w:rsidRPr="004A2DE3">
        <w:t xml:space="preserve">Christine Kreyling, Wesley Paine, Charles W. Waterfield, Jr., and Susan Ford Wiltshire, </w:t>
      </w:r>
      <w:r w:rsidRPr="00A5274C">
        <w:rPr>
          <w:i/>
        </w:rPr>
        <w:t>Classical Nashville: Athens of the South</w:t>
      </w:r>
      <w:r w:rsidRPr="004A2DE3">
        <w:t xml:space="preserve"> (Nashville: Vanderbilt UP, 1996), </w:t>
      </w:r>
      <w:r>
        <w:t>7.</w:t>
      </w:r>
    </w:p>
  </w:footnote>
  <w:footnote w:id="20">
    <w:p w:rsidR="002F5AC7" w:rsidRDefault="002F5AC7" w:rsidP="000C63B2">
      <w:pPr>
        <w:pStyle w:val="FootnoteText"/>
      </w:pPr>
      <w:r>
        <w:rPr>
          <w:rStyle w:val="FootnoteReference"/>
        </w:rPr>
        <w:footnoteRef/>
      </w:r>
      <w:r>
        <w:t xml:space="preserve"> Alfred Leland </w:t>
      </w:r>
      <w:proofErr w:type="spellStart"/>
      <w:r>
        <w:t>Crabb</w:t>
      </w:r>
      <w:proofErr w:type="spellEnd"/>
      <w:r>
        <w:t xml:space="preserve">, </w:t>
      </w:r>
      <w:r w:rsidRPr="004A2DE3">
        <w:rPr>
          <w:i/>
        </w:rPr>
        <w:t>Nashville: Personality of a City</w:t>
      </w:r>
      <w:r>
        <w:t xml:space="preserve"> (New York: </w:t>
      </w:r>
      <w:proofErr w:type="spellStart"/>
      <w:r>
        <w:t>Bobbs</w:t>
      </w:r>
      <w:proofErr w:type="spellEnd"/>
      <w:r>
        <w:t>-Merrill, 1960), 170.</w:t>
      </w:r>
    </w:p>
  </w:footnote>
  <w:footnote w:id="21">
    <w:p w:rsidR="002F5AC7" w:rsidRDefault="002F5AC7" w:rsidP="000C63B2">
      <w:pPr>
        <w:pStyle w:val="FootnoteText"/>
      </w:pPr>
      <w:r>
        <w:rPr>
          <w:rStyle w:val="FootnoteReference"/>
        </w:rPr>
        <w:footnoteRef/>
      </w:r>
      <w:r>
        <w:t xml:space="preserve"> Louise Davis, “Advocate of Parthenon knew it’d be it,” </w:t>
      </w:r>
      <w:r w:rsidRPr="00750ED3">
        <w:rPr>
          <w:i/>
        </w:rPr>
        <w:t>Tennessean</w:t>
      </w:r>
      <w:r>
        <w:t>, September 26, 1988.</w:t>
      </w:r>
    </w:p>
  </w:footnote>
  <w:footnote w:id="22">
    <w:p w:rsidR="002F5AC7" w:rsidRDefault="002F5AC7" w:rsidP="00E86BFE">
      <w:pPr>
        <w:pStyle w:val="FootnoteText"/>
      </w:pPr>
      <w:r>
        <w:rPr>
          <w:rStyle w:val="FootnoteReference"/>
        </w:rPr>
        <w:footnoteRef/>
      </w:r>
      <w:r>
        <w:t xml:space="preserve"> Henry </w:t>
      </w:r>
      <w:proofErr w:type="spellStart"/>
      <w:r>
        <w:t>McRaven</w:t>
      </w:r>
      <w:proofErr w:type="spellEnd"/>
      <w:r>
        <w:t xml:space="preserve">, </w:t>
      </w:r>
      <w:r w:rsidRPr="00226B67">
        <w:rPr>
          <w:i/>
        </w:rPr>
        <w:t>Nashville: Athens of the South</w:t>
      </w:r>
      <w:r>
        <w:t xml:space="preserve"> (Chapel Hill, N.C.: </w:t>
      </w:r>
      <w:proofErr w:type="spellStart"/>
      <w:r>
        <w:t>Scheer</w:t>
      </w:r>
      <w:proofErr w:type="spellEnd"/>
      <w:r>
        <w:t xml:space="preserve"> &amp; Jervis, 1949), vii.</w:t>
      </w:r>
    </w:p>
  </w:footnote>
  <w:footnote w:id="23">
    <w:p w:rsidR="002F5AC7" w:rsidRDefault="002F5AC7" w:rsidP="00A5274C">
      <w:pPr>
        <w:pStyle w:val="FootnoteText"/>
      </w:pPr>
      <w:r>
        <w:rPr>
          <w:rStyle w:val="FootnoteReference"/>
        </w:rPr>
        <w:footnoteRef/>
      </w:r>
      <w:r>
        <w:t xml:space="preserve"> Henry </w:t>
      </w:r>
      <w:proofErr w:type="spellStart"/>
      <w:r>
        <w:t>McRaven</w:t>
      </w:r>
      <w:proofErr w:type="spellEnd"/>
      <w:r>
        <w:t xml:space="preserve">, </w:t>
      </w:r>
      <w:r w:rsidRPr="00226B67">
        <w:rPr>
          <w:i/>
        </w:rPr>
        <w:t>Nashville: Athens of the South</w:t>
      </w:r>
      <w:r>
        <w:t xml:space="preserve"> (Chapel Hill, N.C.: </w:t>
      </w:r>
      <w:proofErr w:type="spellStart"/>
      <w:r>
        <w:t>Scheer</w:t>
      </w:r>
      <w:proofErr w:type="spellEnd"/>
      <w:r>
        <w:t xml:space="preserve"> &amp; Jervis, 1949), 50.</w:t>
      </w:r>
    </w:p>
  </w:footnote>
  <w:footnote w:id="24">
    <w:p w:rsidR="002F5AC7" w:rsidRDefault="002F5AC7">
      <w:pPr>
        <w:pStyle w:val="FootnoteText"/>
      </w:pPr>
      <w:r>
        <w:rPr>
          <w:rStyle w:val="FootnoteReference"/>
        </w:rPr>
        <w:footnoteRef/>
      </w:r>
      <w:r>
        <w:t xml:space="preserve"> Leroy J. Halsey, </w:t>
      </w:r>
      <w:proofErr w:type="gramStart"/>
      <w:r w:rsidRPr="00645E2C">
        <w:rPr>
          <w:i/>
        </w:rPr>
        <w:t>A</w:t>
      </w:r>
      <w:proofErr w:type="gramEnd"/>
      <w:r w:rsidRPr="00645E2C">
        <w:rPr>
          <w:i/>
        </w:rPr>
        <w:t xml:space="preserve"> Sketch of the Life and Educational Labors of Philip Lindsley, D.D. </w:t>
      </w:r>
      <w:r w:rsidRPr="00750ED3">
        <w:t>(H</w:t>
      </w:r>
      <w:r>
        <w:t xml:space="preserve">artford: Williams, Wiley &amp; Turner 1859), 41. Reprinted from </w:t>
      </w:r>
      <w:r w:rsidRPr="00645E2C">
        <w:rPr>
          <w:i/>
        </w:rPr>
        <w:t>Barnard’s American Journal of Education</w:t>
      </w:r>
      <w:r>
        <w:t xml:space="preserve"> September 1859. </w:t>
      </w:r>
    </w:p>
  </w:footnote>
  <w:footnote w:id="25">
    <w:p w:rsidR="002F5AC7" w:rsidRDefault="002F5AC7" w:rsidP="00A5274C">
      <w:pPr>
        <w:pStyle w:val="FootnoteText"/>
      </w:pPr>
      <w:r>
        <w:rPr>
          <w:rStyle w:val="FootnoteReference"/>
        </w:rPr>
        <w:footnoteRef/>
      </w:r>
      <w:r>
        <w:t xml:space="preserve"> Louise Davis, “Nashville Called ‘Athens of South’ Before Parthenon,” </w:t>
      </w:r>
      <w:r w:rsidRPr="000D1127">
        <w:rPr>
          <w:i/>
        </w:rPr>
        <w:t>Tennessean</w:t>
      </w:r>
      <w:r>
        <w:t>, Dec. 30 1967.</w:t>
      </w:r>
    </w:p>
  </w:footnote>
  <w:footnote w:id="26">
    <w:p w:rsidR="002F5AC7" w:rsidRDefault="002F5AC7">
      <w:pPr>
        <w:pStyle w:val="FootnoteText"/>
      </w:pPr>
      <w:r>
        <w:rPr>
          <w:rStyle w:val="FootnoteReference"/>
        </w:rPr>
        <w:footnoteRef/>
      </w:r>
      <w:r>
        <w:t xml:space="preserve"> </w:t>
      </w:r>
      <w:r w:rsidRPr="002E50B3">
        <w:t xml:space="preserve">H.W. Crew, </w:t>
      </w:r>
      <w:proofErr w:type="gramStart"/>
      <w:r w:rsidRPr="004F1368">
        <w:rPr>
          <w:i/>
        </w:rPr>
        <w:t>The</w:t>
      </w:r>
      <w:proofErr w:type="gramEnd"/>
      <w:r w:rsidRPr="004F1368">
        <w:rPr>
          <w:i/>
        </w:rPr>
        <w:t xml:space="preserve"> History of Nashville Tennessee</w:t>
      </w:r>
      <w:r w:rsidRPr="002E50B3">
        <w:t xml:space="preserve"> (Nashville: Publishing House of the Methodist Episcopal Church, South,</w:t>
      </w:r>
      <w:r>
        <w:t xml:space="preserve"> Barbee &amp; Smith, 1890), 516. </w:t>
      </w:r>
    </w:p>
  </w:footnote>
  <w:footnote w:id="27">
    <w:p w:rsidR="002F5AC7" w:rsidRDefault="002F5AC7" w:rsidP="00A5148D">
      <w:pPr>
        <w:pStyle w:val="FootnoteText"/>
      </w:pPr>
      <w:r>
        <w:rPr>
          <w:rStyle w:val="FootnoteReference"/>
        </w:rPr>
        <w:footnoteRef/>
      </w:r>
      <w:r>
        <w:t xml:space="preserve"> </w:t>
      </w:r>
      <w:r w:rsidRPr="004F1368">
        <w:t xml:space="preserve">H.W. Crew, </w:t>
      </w:r>
      <w:proofErr w:type="gramStart"/>
      <w:r w:rsidRPr="004F1368">
        <w:rPr>
          <w:i/>
        </w:rPr>
        <w:t>The</w:t>
      </w:r>
      <w:proofErr w:type="gramEnd"/>
      <w:r w:rsidRPr="004F1368">
        <w:rPr>
          <w:i/>
        </w:rPr>
        <w:t xml:space="preserve"> History of Nashville Tennessee</w:t>
      </w:r>
      <w:r w:rsidRPr="004F1368">
        <w:t xml:space="preserve"> (Nashville: Publishing House of the Methodist Episcopal Church, South, Barbee &amp; Smith, 1890), </w:t>
      </w:r>
      <w:r>
        <w:t>346.</w:t>
      </w:r>
    </w:p>
  </w:footnote>
  <w:footnote w:id="28">
    <w:p w:rsidR="002F5AC7" w:rsidRDefault="002F5AC7" w:rsidP="001348AE">
      <w:pPr>
        <w:pStyle w:val="FootnoteText"/>
      </w:pPr>
      <w:r>
        <w:rPr>
          <w:rStyle w:val="FootnoteReference"/>
        </w:rPr>
        <w:footnoteRef/>
      </w:r>
      <w:r>
        <w:t xml:space="preserve"> </w:t>
      </w:r>
      <w:r w:rsidRPr="004F1368">
        <w:t>Colonel J. George Harris</w:t>
      </w:r>
      <w:r>
        <w:t xml:space="preserve">, </w:t>
      </w:r>
      <w:proofErr w:type="gramStart"/>
      <w:r>
        <w:rPr>
          <w:i/>
        </w:rPr>
        <w:t>The</w:t>
      </w:r>
      <w:proofErr w:type="gramEnd"/>
      <w:r>
        <w:rPr>
          <w:i/>
        </w:rPr>
        <w:t xml:space="preserve"> Nashville Union</w:t>
      </w:r>
      <w:r>
        <w:t>,</w:t>
      </w:r>
      <w:r w:rsidRPr="00840D41">
        <w:t xml:space="preserve"> March 11</w:t>
      </w:r>
      <w:r>
        <w:t>,</w:t>
      </w:r>
      <w:r w:rsidRPr="00840D41">
        <w:t xml:space="preserve"> 1839</w:t>
      </w:r>
      <w:r>
        <w:t xml:space="preserve">. </w:t>
      </w:r>
      <w:proofErr w:type="gramStart"/>
      <w:r>
        <w:t>From Tennessee State Library and Archives.</w:t>
      </w:r>
      <w:proofErr w:type="gramEnd"/>
      <w:r>
        <w:t xml:space="preserve"> </w:t>
      </w:r>
    </w:p>
  </w:footnote>
  <w:footnote w:id="29">
    <w:p w:rsidR="002F5AC7" w:rsidRDefault="002F5AC7">
      <w:pPr>
        <w:pStyle w:val="FootnoteText"/>
      </w:pPr>
      <w:r>
        <w:rPr>
          <w:rStyle w:val="FootnoteReference"/>
        </w:rPr>
        <w:footnoteRef/>
      </w:r>
      <w:r>
        <w:t xml:space="preserve"> Allen A. Hall and S. Nye, </w:t>
      </w:r>
      <w:proofErr w:type="gramStart"/>
      <w:r w:rsidRPr="001F4604">
        <w:rPr>
          <w:i/>
        </w:rPr>
        <w:t>The</w:t>
      </w:r>
      <w:proofErr w:type="gramEnd"/>
      <w:r w:rsidRPr="001F4604">
        <w:rPr>
          <w:i/>
        </w:rPr>
        <w:t xml:space="preserve"> Nashville Republican Banner</w:t>
      </w:r>
      <w:r>
        <w:t xml:space="preserve">, March 12, 1839. </w:t>
      </w:r>
      <w:proofErr w:type="gramStart"/>
      <w:r>
        <w:t>From Tennessee State Library and Archives.</w:t>
      </w:r>
      <w:proofErr w:type="gramEnd"/>
      <w:r>
        <w:t xml:space="preserve"> </w:t>
      </w:r>
    </w:p>
  </w:footnote>
  <w:footnote w:id="30">
    <w:p w:rsidR="002F5AC7" w:rsidRPr="00407163" w:rsidRDefault="002F5AC7" w:rsidP="00A5148D">
      <w:pPr>
        <w:pStyle w:val="FootnoteText"/>
      </w:pPr>
      <w:r>
        <w:rPr>
          <w:rStyle w:val="FootnoteReference"/>
        </w:rPr>
        <w:footnoteRef/>
      </w:r>
      <w:r>
        <w:t xml:space="preserve"> </w:t>
      </w:r>
      <w:proofErr w:type="gramStart"/>
      <w:r>
        <w:t xml:space="preserve">The Library Congress of Philadelphia, “Athens of America,” The Library Company of Philadelphia, 2007, </w:t>
      </w:r>
      <w:hyperlink r:id="rId2" w:history="1">
        <w:r w:rsidRPr="004C346E">
          <w:rPr>
            <w:rStyle w:val="Hyperlink"/>
          </w:rPr>
          <w:t>http://www.librarycompany.org/artifacts/athens.htm</w:t>
        </w:r>
      </w:hyperlink>
      <w:r>
        <w:rPr>
          <w:rStyle w:val="Hyperlink"/>
          <w:u w:val="none"/>
        </w:rPr>
        <w:t>.</w:t>
      </w:r>
      <w:proofErr w:type="gramEnd"/>
    </w:p>
  </w:footnote>
  <w:footnote w:id="31">
    <w:p w:rsidR="002F5AC7" w:rsidRDefault="002F5AC7" w:rsidP="00EE0610">
      <w:pPr>
        <w:pStyle w:val="FootnoteText"/>
      </w:pPr>
      <w:r>
        <w:rPr>
          <w:rStyle w:val="FootnoteReference"/>
        </w:rPr>
        <w:footnoteRef/>
      </w:r>
      <w:r>
        <w:t xml:space="preserve"> Thomas H. O’Connor,</w:t>
      </w:r>
      <w:r w:rsidRPr="009B2D6E">
        <w:rPr>
          <w:i/>
        </w:rPr>
        <w:t xml:space="preserve"> The Athens of America</w:t>
      </w:r>
      <w:r>
        <w:t>, (Amherst &amp; Boston: U of Massachusetts P, 2006), xii.</w:t>
      </w:r>
    </w:p>
  </w:footnote>
  <w:footnote w:id="32">
    <w:p w:rsidR="002F5AC7" w:rsidRPr="003919EC" w:rsidRDefault="002F5AC7" w:rsidP="00136C90">
      <w:pPr>
        <w:pStyle w:val="FootnoteText"/>
      </w:pPr>
      <w:r>
        <w:rPr>
          <w:rStyle w:val="FootnoteReference"/>
        </w:rPr>
        <w:footnoteRef/>
      </w:r>
      <w:r>
        <w:t xml:space="preserve"> </w:t>
      </w:r>
      <w:proofErr w:type="gramStart"/>
      <w:r>
        <w:t>Ibid.,</w:t>
      </w:r>
      <w:proofErr w:type="gramEnd"/>
      <w:r>
        <w:t xml:space="preserve"> 92.</w:t>
      </w:r>
    </w:p>
    <w:p w:rsidR="002F5AC7" w:rsidRDefault="002F5AC7">
      <w:pPr>
        <w:pStyle w:val="FootnoteText"/>
      </w:pPr>
    </w:p>
  </w:footnote>
  <w:footnote w:id="33">
    <w:p w:rsidR="002F5AC7" w:rsidRDefault="002F5AC7" w:rsidP="002F50FC">
      <w:pPr>
        <w:pStyle w:val="FootnoteText"/>
      </w:pPr>
      <w:r>
        <w:rPr>
          <w:rStyle w:val="FootnoteReference"/>
        </w:rPr>
        <w:footnoteRef/>
      </w:r>
      <w:r>
        <w:t xml:space="preserve"> </w:t>
      </w:r>
      <w:r w:rsidRPr="004D543A">
        <w:t xml:space="preserve">H.W. Crew, </w:t>
      </w:r>
      <w:proofErr w:type="gramStart"/>
      <w:r w:rsidRPr="002F50FC">
        <w:rPr>
          <w:i/>
        </w:rPr>
        <w:t>The</w:t>
      </w:r>
      <w:proofErr w:type="gramEnd"/>
      <w:r w:rsidRPr="002F50FC">
        <w:rPr>
          <w:i/>
        </w:rPr>
        <w:t xml:space="preserve"> History of Nashville Tennessee</w:t>
      </w:r>
      <w:r w:rsidRPr="004D543A">
        <w:t xml:space="preserve"> (Nashville: Publishing House of the Methodist Episcopal Church, South, Barbee &amp; Smith, 1890)</w:t>
      </w:r>
      <w:r>
        <w:t>.</w:t>
      </w:r>
    </w:p>
  </w:footnote>
  <w:footnote w:id="34">
    <w:p w:rsidR="002F5AC7" w:rsidRDefault="002F5AC7">
      <w:pPr>
        <w:pStyle w:val="FootnoteText"/>
      </w:pPr>
      <w:r>
        <w:rPr>
          <w:rStyle w:val="FootnoteReference"/>
        </w:rPr>
        <w:footnoteRef/>
      </w:r>
      <w:r>
        <w:t xml:space="preserve"> Herman </w:t>
      </w:r>
      <w:proofErr w:type="spellStart"/>
      <w:r>
        <w:t>Justi</w:t>
      </w:r>
      <w:proofErr w:type="spellEnd"/>
      <w:r>
        <w:t xml:space="preserve">, ed., </w:t>
      </w:r>
      <w:proofErr w:type="gramStart"/>
      <w:r w:rsidRPr="00A666A9">
        <w:rPr>
          <w:i/>
        </w:rPr>
        <w:t>The</w:t>
      </w:r>
      <w:proofErr w:type="gramEnd"/>
      <w:r w:rsidRPr="00A666A9">
        <w:rPr>
          <w:i/>
        </w:rPr>
        <w:t xml:space="preserve"> Official History of the Tennessee Centennial Exposition</w:t>
      </w:r>
      <w:r>
        <w:t xml:space="preserve"> (Nashville: Brandon Printing, 1898), 14. </w:t>
      </w:r>
    </w:p>
  </w:footnote>
  <w:footnote w:id="35">
    <w:p w:rsidR="002F5AC7" w:rsidRDefault="002F5AC7">
      <w:pPr>
        <w:pStyle w:val="FootnoteText"/>
      </w:pPr>
      <w:r>
        <w:rPr>
          <w:rStyle w:val="FootnoteReference"/>
        </w:rPr>
        <w:footnoteRef/>
      </w:r>
      <w:r>
        <w:t xml:space="preserve"> </w:t>
      </w:r>
      <w:proofErr w:type="gramStart"/>
      <w:r>
        <w:t xml:space="preserve">William Waller, ed., </w:t>
      </w:r>
      <w:r w:rsidRPr="00A666A9">
        <w:rPr>
          <w:i/>
        </w:rPr>
        <w:t>Nashville in the 1890s</w:t>
      </w:r>
      <w:r>
        <w:t xml:space="preserve"> (Nashville: Vanderbilt UP, 1970), 104.</w:t>
      </w:r>
      <w:proofErr w:type="gramEnd"/>
      <w:r>
        <w:t xml:space="preserve"> </w:t>
      </w:r>
    </w:p>
  </w:footnote>
  <w:footnote w:id="36">
    <w:p w:rsidR="002F5AC7" w:rsidRDefault="002F5AC7" w:rsidP="00C57B83">
      <w:pPr>
        <w:pStyle w:val="FootnoteText"/>
      </w:pPr>
      <w:r>
        <w:rPr>
          <w:rStyle w:val="FootnoteReference"/>
        </w:rPr>
        <w:footnoteRef/>
      </w:r>
      <w:r>
        <w:t xml:space="preserve"> Leland R. Johnson. </w:t>
      </w:r>
      <w:proofErr w:type="gramStart"/>
      <w:r w:rsidRPr="00C6633B">
        <w:rPr>
          <w:i/>
        </w:rPr>
        <w:t>The Parks of Nashville: A History of th</w:t>
      </w:r>
      <w:r>
        <w:rPr>
          <w:i/>
        </w:rPr>
        <w:t xml:space="preserve">e Board of Parks and Recreation </w:t>
      </w:r>
      <w:r>
        <w:t>(Nashville: Metropolitan Nashville and Davidson County Board of Parks and Recreation, 1986), 24.</w:t>
      </w:r>
      <w:proofErr w:type="gramEnd"/>
    </w:p>
  </w:footnote>
  <w:footnote w:id="37">
    <w:p w:rsidR="002F5AC7" w:rsidRDefault="002F5AC7">
      <w:pPr>
        <w:pStyle w:val="FootnoteText"/>
      </w:pPr>
      <w:r>
        <w:rPr>
          <w:rStyle w:val="FootnoteReference"/>
        </w:rPr>
        <w:footnoteRef/>
      </w:r>
      <w:r>
        <w:t xml:space="preserve"> </w:t>
      </w:r>
      <w:proofErr w:type="gramStart"/>
      <w:r>
        <w:t xml:space="preserve">Wilbur Foster Creighton, </w:t>
      </w:r>
      <w:r w:rsidRPr="00C34B38">
        <w:rPr>
          <w:i/>
        </w:rPr>
        <w:t>Building of Nashville</w:t>
      </w:r>
      <w:r>
        <w:t xml:space="preserve"> (Nashville: Wilbur Foster Creighton, </w:t>
      </w:r>
      <w:r w:rsidRPr="00C34B38">
        <w:t>1969</w:t>
      </w:r>
      <w:r>
        <w:t>), 143.</w:t>
      </w:r>
      <w:proofErr w:type="gramEnd"/>
      <w:r>
        <w:t xml:space="preserve"> </w:t>
      </w:r>
    </w:p>
  </w:footnote>
  <w:footnote w:id="38">
    <w:p w:rsidR="002F5AC7" w:rsidRPr="00ED0B7C" w:rsidRDefault="002F5AC7" w:rsidP="00ED0B7C">
      <w:pPr>
        <w:pStyle w:val="FootnoteText"/>
      </w:pPr>
      <w:r>
        <w:rPr>
          <w:rStyle w:val="FootnoteReference"/>
        </w:rPr>
        <w:footnoteRef/>
      </w:r>
      <w:r>
        <w:t xml:space="preserve"> John W. Thomas. </w:t>
      </w:r>
      <w:r w:rsidRPr="00D37C37">
        <w:rPr>
          <w:i/>
        </w:rPr>
        <w:t>John Thomas to Ross-Meehan Foundry Co.</w:t>
      </w:r>
      <w:r>
        <w:t xml:space="preserve">, </w:t>
      </w:r>
      <w:r w:rsidRPr="00192BD4">
        <w:rPr>
          <w:i/>
        </w:rPr>
        <w:t>February 26, 1897</w:t>
      </w:r>
      <w:r>
        <w:t xml:space="preserve">. </w:t>
      </w:r>
      <w:proofErr w:type="gramStart"/>
      <w:r>
        <w:t>Letter.</w:t>
      </w:r>
      <w:proofErr w:type="gramEnd"/>
      <w:r>
        <w:t xml:space="preserve"> From Tennessee State Library and Archives</w:t>
      </w:r>
      <w:proofErr w:type="gramStart"/>
      <w:r>
        <w:t xml:space="preserve">, </w:t>
      </w:r>
      <w:r w:rsidRPr="00ED0B7C">
        <w:t>,</w:t>
      </w:r>
      <w:proofErr w:type="gramEnd"/>
      <w:r w:rsidRPr="00ED0B7C">
        <w:t xml:space="preserve"> </w:t>
      </w:r>
      <w:r w:rsidRPr="00ED0B7C">
        <w:rPr>
          <w:i/>
        </w:rPr>
        <w:t>Tennessee Centennial and International Exposition (1897) Collection 1895-1900</w:t>
      </w:r>
      <w:r w:rsidRPr="00ED0B7C">
        <w:t>.</w:t>
      </w:r>
    </w:p>
    <w:p w:rsidR="002F5AC7" w:rsidRDefault="002F5AC7">
      <w:pPr>
        <w:pStyle w:val="FootnoteText"/>
      </w:pPr>
    </w:p>
  </w:footnote>
  <w:footnote w:id="39">
    <w:p w:rsidR="002F5AC7" w:rsidRDefault="002F5AC7">
      <w:pPr>
        <w:pStyle w:val="FootnoteText"/>
      </w:pPr>
      <w:r>
        <w:rPr>
          <w:rStyle w:val="FootnoteReference"/>
        </w:rPr>
        <w:footnoteRef/>
      </w:r>
      <w:r>
        <w:t xml:space="preserve"> </w:t>
      </w:r>
      <w:r w:rsidRPr="00C70685">
        <w:t xml:space="preserve">Leland R. Johnson. </w:t>
      </w:r>
      <w:proofErr w:type="gramStart"/>
      <w:r w:rsidRPr="00C70685">
        <w:rPr>
          <w:i/>
        </w:rPr>
        <w:t>The Parks of Nashville: A History of the Board of Parks and Recreation</w:t>
      </w:r>
      <w:r w:rsidRPr="00C70685">
        <w:t xml:space="preserve"> (Nashville: Metropolitan Nashville and Davidson County Board of Parks and Recreati</w:t>
      </w:r>
      <w:r>
        <w:t>on, 1986), 23.</w:t>
      </w:r>
      <w:proofErr w:type="gramEnd"/>
    </w:p>
  </w:footnote>
  <w:footnote w:id="40">
    <w:p w:rsidR="002F5AC7" w:rsidRDefault="002F5AC7">
      <w:pPr>
        <w:pStyle w:val="FootnoteText"/>
      </w:pPr>
      <w:r>
        <w:rPr>
          <w:rStyle w:val="FootnoteReference"/>
        </w:rPr>
        <w:footnoteRef/>
      </w:r>
      <w:r>
        <w:t xml:space="preserve"> </w:t>
      </w:r>
      <w:r w:rsidRPr="00251190">
        <w:t xml:space="preserve">Leland R. Johnson. </w:t>
      </w:r>
      <w:proofErr w:type="gramStart"/>
      <w:r w:rsidRPr="00251190">
        <w:rPr>
          <w:i/>
        </w:rPr>
        <w:t>The Parks of Nashville: A History of the Board of Parks and Recreation</w:t>
      </w:r>
      <w:r w:rsidRPr="00251190">
        <w:t xml:space="preserve"> (Nashville: Metropolitan Nashville and Davidson County Board of Parks and Recreation, 1986), 23.</w:t>
      </w:r>
      <w:proofErr w:type="gramEnd"/>
    </w:p>
  </w:footnote>
  <w:footnote w:id="41">
    <w:p w:rsidR="002F5AC7" w:rsidRDefault="002F5AC7">
      <w:pPr>
        <w:pStyle w:val="FootnoteText"/>
      </w:pPr>
      <w:r>
        <w:rPr>
          <w:rStyle w:val="FootnoteReference"/>
        </w:rPr>
        <w:footnoteRef/>
      </w:r>
      <w:r>
        <w:t xml:space="preserve"> </w:t>
      </w:r>
      <w:r w:rsidRPr="00251190">
        <w:t>President</w:t>
      </w:r>
      <w:r>
        <w:t xml:space="preserve"> John W. Thomas. </w:t>
      </w:r>
      <w:r w:rsidRPr="00251190">
        <w:rPr>
          <w:i/>
        </w:rPr>
        <w:t>John Thomas to J. C. Hemphill, Esq. May 26, 1900.</w:t>
      </w:r>
      <w:r w:rsidRPr="00251190">
        <w:t xml:space="preserve"> </w:t>
      </w:r>
      <w:proofErr w:type="gramStart"/>
      <w:r w:rsidRPr="00251190">
        <w:t>Letter.</w:t>
      </w:r>
      <w:proofErr w:type="gramEnd"/>
      <w:r w:rsidRPr="00251190">
        <w:t xml:space="preserve"> </w:t>
      </w:r>
      <w:proofErr w:type="gramStart"/>
      <w:r w:rsidRPr="00251190">
        <w:t xml:space="preserve">From Tennessee State Library and Archives, </w:t>
      </w:r>
      <w:r w:rsidRPr="00251190">
        <w:rPr>
          <w:i/>
        </w:rPr>
        <w:t>Tennessee Centennial and International Exposition (1897) Collection 1895-1900</w:t>
      </w:r>
      <w:r w:rsidRPr="00251190">
        <w:t>.</w:t>
      </w:r>
      <w:proofErr w:type="gramEnd"/>
    </w:p>
  </w:footnote>
  <w:footnote w:id="42">
    <w:p w:rsidR="002F5AC7" w:rsidRDefault="002F5AC7" w:rsidP="002B0C9D">
      <w:pPr>
        <w:pStyle w:val="FootnoteText"/>
      </w:pPr>
      <w:r>
        <w:rPr>
          <w:rStyle w:val="FootnoteReference"/>
        </w:rPr>
        <w:footnoteRef/>
      </w:r>
      <w:r>
        <w:t xml:space="preserve"> John </w:t>
      </w:r>
      <w:r w:rsidRPr="00520E1E">
        <w:t xml:space="preserve">W. Thomas. </w:t>
      </w:r>
      <w:r w:rsidRPr="00520E1E">
        <w:rPr>
          <w:i/>
        </w:rPr>
        <w:t>John Thomas to J. C. Hemphill, Esq. May 26, 1900</w:t>
      </w:r>
      <w:r w:rsidRPr="00520E1E">
        <w:t xml:space="preserve">. </w:t>
      </w:r>
      <w:proofErr w:type="gramStart"/>
      <w:r w:rsidRPr="00520E1E">
        <w:t>Letter.</w:t>
      </w:r>
      <w:proofErr w:type="gramEnd"/>
      <w:r w:rsidRPr="00520E1E">
        <w:t xml:space="preserve"> </w:t>
      </w:r>
      <w:proofErr w:type="gramStart"/>
      <w:r w:rsidRPr="00520E1E">
        <w:t xml:space="preserve">From Tennessee State Library and Archives, </w:t>
      </w:r>
      <w:r w:rsidRPr="00520E1E">
        <w:rPr>
          <w:i/>
        </w:rPr>
        <w:t>Tennessee Centennial and International Exposition (1897) Collection 1895-1900</w:t>
      </w:r>
      <w:r w:rsidRPr="00520E1E">
        <w:t>.</w:t>
      </w:r>
      <w:proofErr w:type="gramEnd"/>
    </w:p>
  </w:footnote>
  <w:footnote w:id="43">
    <w:p w:rsidR="002F5AC7" w:rsidRDefault="002F5AC7">
      <w:pPr>
        <w:pStyle w:val="FootnoteText"/>
      </w:pPr>
      <w:r>
        <w:rPr>
          <w:rStyle w:val="FootnoteReference"/>
        </w:rPr>
        <w:footnoteRef/>
      </w:r>
      <w:r>
        <w:t xml:space="preserve"> </w:t>
      </w:r>
      <w:r w:rsidRPr="00520E1E">
        <w:t xml:space="preserve">John W. Thomas. </w:t>
      </w:r>
      <w:r w:rsidRPr="00520E1E">
        <w:rPr>
          <w:i/>
        </w:rPr>
        <w:t>John Thomas to Edgar C. Felton, Esq. Dec. 26, 1896</w:t>
      </w:r>
      <w:r w:rsidRPr="00520E1E">
        <w:t xml:space="preserve">. </w:t>
      </w:r>
      <w:proofErr w:type="gramStart"/>
      <w:r w:rsidRPr="00520E1E">
        <w:t>Letter.</w:t>
      </w:r>
      <w:proofErr w:type="gramEnd"/>
      <w:r w:rsidRPr="00520E1E">
        <w:t xml:space="preserve"> </w:t>
      </w:r>
      <w:proofErr w:type="gramStart"/>
      <w:r w:rsidRPr="00520E1E">
        <w:t xml:space="preserve">From Tennessee State Library and Archives, </w:t>
      </w:r>
      <w:r w:rsidRPr="00520E1E">
        <w:rPr>
          <w:i/>
        </w:rPr>
        <w:t>Tennessee Centennial and International Exposition (1897) Collection 1895-1900</w:t>
      </w:r>
      <w:r w:rsidRPr="00520E1E">
        <w:t>.</w:t>
      </w:r>
      <w:proofErr w:type="gramEnd"/>
    </w:p>
  </w:footnote>
  <w:footnote w:id="44">
    <w:p w:rsidR="002F5AC7" w:rsidRDefault="002F5AC7" w:rsidP="002B0C9D">
      <w:pPr>
        <w:pStyle w:val="FootnoteText"/>
      </w:pPr>
      <w:r>
        <w:rPr>
          <w:rStyle w:val="FootnoteReference"/>
        </w:rPr>
        <w:footnoteRef/>
      </w:r>
      <w:r>
        <w:t xml:space="preserve"> </w:t>
      </w:r>
      <w:r w:rsidRPr="00520E1E">
        <w:t xml:space="preserve">John W. Thomas. </w:t>
      </w:r>
      <w:proofErr w:type="gramStart"/>
      <w:r w:rsidRPr="00C40579">
        <w:rPr>
          <w:i/>
        </w:rPr>
        <w:t>John Thomas to Colonel John H. Averill.</w:t>
      </w:r>
      <w:proofErr w:type="gramEnd"/>
      <w:r w:rsidRPr="00C40579">
        <w:rPr>
          <w:i/>
        </w:rPr>
        <w:t xml:space="preserve"> March 13 1900</w:t>
      </w:r>
      <w:r w:rsidRPr="00520E1E">
        <w:t xml:space="preserve">. </w:t>
      </w:r>
      <w:proofErr w:type="gramStart"/>
      <w:r w:rsidRPr="00520E1E">
        <w:t>Letter.</w:t>
      </w:r>
      <w:proofErr w:type="gramEnd"/>
      <w:r w:rsidRPr="00520E1E">
        <w:t xml:space="preserve"> </w:t>
      </w:r>
      <w:proofErr w:type="gramStart"/>
      <w:r w:rsidRPr="00520E1E">
        <w:t xml:space="preserve">From Tennessee State Library and Archives, </w:t>
      </w:r>
      <w:r w:rsidRPr="00C40579">
        <w:rPr>
          <w:i/>
        </w:rPr>
        <w:t>Tennessee Centennial and International Exposition (1897) Collection 1895-1900</w:t>
      </w:r>
      <w:r w:rsidRPr="00520E1E">
        <w:t>.</w:t>
      </w:r>
      <w:proofErr w:type="gramEnd"/>
    </w:p>
  </w:footnote>
  <w:footnote w:id="45">
    <w:p w:rsidR="002F5AC7" w:rsidRDefault="002F5AC7">
      <w:pPr>
        <w:pStyle w:val="FootnoteText"/>
      </w:pPr>
      <w:r>
        <w:rPr>
          <w:rStyle w:val="FootnoteReference"/>
        </w:rPr>
        <w:footnoteRef/>
      </w:r>
      <w:r>
        <w:t xml:space="preserve"> </w:t>
      </w:r>
      <w:r w:rsidRPr="0017000C">
        <w:t xml:space="preserve">Herman </w:t>
      </w:r>
      <w:proofErr w:type="spellStart"/>
      <w:r w:rsidRPr="0017000C">
        <w:t>Justi</w:t>
      </w:r>
      <w:proofErr w:type="spellEnd"/>
      <w:r w:rsidRPr="0017000C">
        <w:t xml:space="preserve">, ed., </w:t>
      </w:r>
      <w:proofErr w:type="gramStart"/>
      <w:r w:rsidRPr="0017000C">
        <w:rPr>
          <w:i/>
        </w:rPr>
        <w:t>The</w:t>
      </w:r>
      <w:proofErr w:type="gramEnd"/>
      <w:r w:rsidRPr="0017000C">
        <w:rPr>
          <w:i/>
        </w:rPr>
        <w:t xml:space="preserve"> Official History of the Tennessee Centennial Exposition</w:t>
      </w:r>
      <w:r w:rsidRPr="0017000C">
        <w:t xml:space="preserve"> (Nashville: Brandon Printing, 1898), </w:t>
      </w:r>
      <w:r>
        <w:t>32.</w:t>
      </w:r>
    </w:p>
  </w:footnote>
  <w:footnote w:id="46">
    <w:p w:rsidR="002F5AC7" w:rsidRDefault="002F5AC7">
      <w:pPr>
        <w:pStyle w:val="FootnoteText"/>
      </w:pPr>
      <w:r>
        <w:rPr>
          <w:rStyle w:val="FootnoteReference"/>
        </w:rPr>
        <w:footnoteRef/>
      </w:r>
      <w:r>
        <w:t xml:space="preserve"> </w:t>
      </w:r>
      <w:proofErr w:type="gramStart"/>
      <w:r>
        <w:t>Ibid.</w:t>
      </w:r>
      <w:r w:rsidRPr="0017000C">
        <w:t>,</w:t>
      </w:r>
      <w:proofErr w:type="gramEnd"/>
      <w:r w:rsidRPr="0017000C">
        <w:t xml:space="preserve"> </w:t>
      </w:r>
      <w:r>
        <w:t>32-33.</w:t>
      </w:r>
    </w:p>
  </w:footnote>
  <w:footnote w:id="47">
    <w:p w:rsidR="002F5AC7" w:rsidRDefault="002F5AC7" w:rsidP="003F4B09">
      <w:pPr>
        <w:pStyle w:val="FootnoteText"/>
      </w:pPr>
      <w:r>
        <w:rPr>
          <w:rStyle w:val="FootnoteReference"/>
        </w:rPr>
        <w:footnoteRef/>
      </w:r>
      <w:r>
        <w:t xml:space="preserve"> </w:t>
      </w:r>
      <w:r w:rsidRPr="00A90D9D">
        <w:t xml:space="preserve">Herman </w:t>
      </w:r>
      <w:proofErr w:type="spellStart"/>
      <w:r w:rsidRPr="00A90D9D">
        <w:t>Justi</w:t>
      </w:r>
      <w:proofErr w:type="spellEnd"/>
      <w:r w:rsidRPr="00A90D9D">
        <w:t xml:space="preserve">, ed., </w:t>
      </w:r>
      <w:proofErr w:type="gramStart"/>
      <w:r w:rsidRPr="00A90D9D">
        <w:rPr>
          <w:i/>
        </w:rPr>
        <w:t>The</w:t>
      </w:r>
      <w:proofErr w:type="gramEnd"/>
      <w:r w:rsidRPr="00A90D9D">
        <w:rPr>
          <w:i/>
        </w:rPr>
        <w:t xml:space="preserve"> Official History of the Tennessee Centennial Exposition</w:t>
      </w:r>
      <w:r w:rsidRPr="00A90D9D">
        <w:t xml:space="preserve"> (Nashville: Brandon Printing, 1898), </w:t>
      </w:r>
      <w:r>
        <w:t>112.</w:t>
      </w:r>
    </w:p>
  </w:footnote>
  <w:footnote w:id="48">
    <w:p w:rsidR="002F5AC7" w:rsidRDefault="002F5AC7">
      <w:pPr>
        <w:pStyle w:val="FootnoteText"/>
      </w:pPr>
      <w:r>
        <w:rPr>
          <w:rStyle w:val="FootnoteReference"/>
        </w:rPr>
        <w:footnoteRef/>
      </w:r>
      <w:r>
        <w:t xml:space="preserve"> </w:t>
      </w:r>
      <w:r w:rsidRPr="003B4164">
        <w:t xml:space="preserve">Herman </w:t>
      </w:r>
      <w:proofErr w:type="spellStart"/>
      <w:r w:rsidRPr="003B4164">
        <w:t>Justi</w:t>
      </w:r>
      <w:proofErr w:type="spellEnd"/>
      <w:r w:rsidRPr="003B4164">
        <w:t xml:space="preserve">, ed., </w:t>
      </w:r>
      <w:proofErr w:type="gramStart"/>
      <w:r w:rsidRPr="003B4164">
        <w:rPr>
          <w:i/>
        </w:rPr>
        <w:t>The</w:t>
      </w:r>
      <w:proofErr w:type="gramEnd"/>
      <w:r w:rsidRPr="003B4164">
        <w:rPr>
          <w:i/>
        </w:rPr>
        <w:t xml:space="preserve"> Official History of the Tennessee Centennial Exposition </w:t>
      </w:r>
      <w:r w:rsidRPr="003B4164">
        <w:t xml:space="preserve">(Nashville: Brandon Printing, 1898), </w:t>
      </w:r>
      <w:r>
        <w:t>112-113.</w:t>
      </w:r>
    </w:p>
  </w:footnote>
  <w:footnote w:id="49">
    <w:p w:rsidR="002F5AC7" w:rsidRDefault="002F5AC7">
      <w:pPr>
        <w:pStyle w:val="FootnoteText"/>
      </w:pPr>
      <w:r>
        <w:rPr>
          <w:rStyle w:val="FootnoteReference"/>
        </w:rPr>
        <w:footnoteRef/>
      </w:r>
      <w:r>
        <w:t xml:space="preserve"> </w:t>
      </w:r>
      <w:proofErr w:type="gramStart"/>
      <w:r>
        <w:t xml:space="preserve">Jesse C. Burt, Jr. “The Major Found the Plans”; </w:t>
      </w:r>
      <w:r w:rsidRPr="003B4164">
        <w:rPr>
          <w:i/>
        </w:rPr>
        <w:t>Tennessean</w:t>
      </w:r>
      <w:r>
        <w:t>.</w:t>
      </w:r>
      <w:proofErr w:type="gramEnd"/>
      <w:r>
        <w:t xml:space="preserve"> Oct. 18, 1953. </w:t>
      </w:r>
      <w:proofErr w:type="gramStart"/>
      <w:r>
        <w:t>From the Metro Archives.</w:t>
      </w:r>
      <w:proofErr w:type="gramEnd"/>
      <w:r>
        <w:t xml:space="preserve"> </w:t>
      </w:r>
    </w:p>
  </w:footnote>
  <w:footnote w:id="50">
    <w:p w:rsidR="002F5AC7" w:rsidRDefault="002F5AC7">
      <w:pPr>
        <w:pStyle w:val="FootnoteText"/>
      </w:pPr>
      <w:r>
        <w:rPr>
          <w:rStyle w:val="FootnoteReference"/>
        </w:rPr>
        <w:footnoteRef/>
      </w:r>
      <w:r>
        <w:t xml:space="preserve"> </w:t>
      </w:r>
      <w:proofErr w:type="gramStart"/>
      <w:r w:rsidRPr="00270AF4">
        <w:t xml:space="preserve">Jesse C. Burt, Jr. “The Major Found the Plans”; </w:t>
      </w:r>
      <w:r w:rsidRPr="00270AF4">
        <w:rPr>
          <w:i/>
        </w:rPr>
        <w:t>Tennessean</w:t>
      </w:r>
      <w:r>
        <w:t>.</w:t>
      </w:r>
      <w:proofErr w:type="gramEnd"/>
      <w:r>
        <w:t xml:space="preserve"> </w:t>
      </w:r>
      <w:r w:rsidRPr="00270AF4">
        <w:t>Oct. 18</w:t>
      </w:r>
      <w:r>
        <w:t>,</w:t>
      </w:r>
      <w:r w:rsidRPr="00270AF4">
        <w:t xml:space="preserve"> 1953. </w:t>
      </w:r>
      <w:proofErr w:type="gramStart"/>
      <w:r w:rsidRPr="00270AF4">
        <w:t>From the Metro Archives.</w:t>
      </w:r>
      <w:proofErr w:type="gramEnd"/>
    </w:p>
  </w:footnote>
  <w:footnote w:id="51">
    <w:p w:rsidR="002F5AC7" w:rsidRPr="00286526" w:rsidRDefault="002F5AC7">
      <w:pPr>
        <w:pStyle w:val="FootnoteText"/>
      </w:pPr>
      <w:r w:rsidRPr="00286526">
        <w:rPr>
          <w:rStyle w:val="FootnoteReference"/>
        </w:rPr>
        <w:footnoteRef/>
      </w:r>
      <w:r>
        <w:t xml:space="preserve"> </w:t>
      </w:r>
      <w:r w:rsidRPr="00270AF4">
        <w:t xml:space="preserve">Christine Kreyling, Wesley Paine, Charles W. Waterfield, Jr., and Susan Ford Wiltshire, </w:t>
      </w:r>
      <w:r w:rsidRPr="00270AF4">
        <w:rPr>
          <w:i/>
        </w:rPr>
        <w:t xml:space="preserve">Classical Nashville: Athens of the South </w:t>
      </w:r>
      <w:r w:rsidRPr="00270AF4">
        <w:t>(Nas</w:t>
      </w:r>
      <w:r>
        <w:t>hville: Vanderbilt UP, 1996), 125.</w:t>
      </w:r>
    </w:p>
  </w:footnote>
  <w:footnote w:id="52">
    <w:p w:rsidR="002F5AC7" w:rsidRPr="00286526" w:rsidRDefault="002F5AC7" w:rsidP="007C1AD3">
      <w:pPr>
        <w:pStyle w:val="FootnoteText"/>
        <w:contextualSpacing/>
        <w:rPr>
          <w:rFonts w:cs="Times New Roman"/>
        </w:rPr>
      </w:pPr>
      <w:r w:rsidRPr="00286526">
        <w:rPr>
          <w:rStyle w:val="FootnoteReference"/>
          <w:rFonts w:cs="Times New Roman"/>
        </w:rPr>
        <w:footnoteRef/>
      </w:r>
      <w:r w:rsidRPr="00286526">
        <w:rPr>
          <w:rFonts w:cs="Times New Roman"/>
        </w:rPr>
        <w:t xml:space="preserve"> One of the major differences from the Exposition Parthenon and the Ancient is the placement of the figures in the west pediment on both ends of the Exposition Parthenon, since Jacq</w:t>
      </w:r>
      <w:r>
        <w:rPr>
          <w:rFonts w:cs="Times New Roman"/>
        </w:rPr>
        <w:t xml:space="preserve">ues Carrey’s drawings from </w:t>
      </w:r>
      <w:r w:rsidRPr="00286526">
        <w:rPr>
          <w:rFonts w:cs="Times New Roman"/>
        </w:rPr>
        <w:t xml:space="preserve">1674 could </w:t>
      </w:r>
      <w:r>
        <w:rPr>
          <w:rFonts w:cs="Times New Roman"/>
        </w:rPr>
        <w:t xml:space="preserve">not reproduce the east pediment. </w:t>
      </w:r>
      <w:r w:rsidRPr="005838AD">
        <w:rPr>
          <w:rFonts w:cs="Times New Roman"/>
        </w:rPr>
        <w:t xml:space="preserve">Christine Kreyling, Wesley Paine, Charles W. Waterfield, Jr., and Susan Ford Wiltshire, </w:t>
      </w:r>
      <w:r w:rsidRPr="005838AD">
        <w:rPr>
          <w:rFonts w:cs="Times New Roman"/>
          <w:i/>
        </w:rPr>
        <w:t xml:space="preserve">Classical Nashville: Athens of the South </w:t>
      </w:r>
      <w:r w:rsidRPr="005838AD">
        <w:rPr>
          <w:rFonts w:cs="Times New Roman"/>
        </w:rPr>
        <w:t>(Nashville: Va</w:t>
      </w:r>
      <w:r>
        <w:rPr>
          <w:rFonts w:cs="Times New Roman"/>
        </w:rPr>
        <w:t xml:space="preserve">nderbilt UP, 1996), 125-26. </w:t>
      </w:r>
    </w:p>
    <w:p w:rsidR="002F5AC7" w:rsidRPr="002A4488" w:rsidRDefault="002F5AC7" w:rsidP="007C1AD3">
      <w:pPr>
        <w:pStyle w:val="FootnoteText"/>
        <w:contextualSpacing/>
        <w:rPr>
          <w:rFonts w:ascii="Times New Roman" w:hAnsi="Times New Roman" w:cs="Times New Roman"/>
        </w:rPr>
      </w:pPr>
    </w:p>
  </w:footnote>
  <w:footnote w:id="53">
    <w:p w:rsidR="002F5AC7" w:rsidRDefault="002F5AC7" w:rsidP="000F29E8">
      <w:pPr>
        <w:pStyle w:val="FootnoteText"/>
      </w:pPr>
      <w:r>
        <w:rPr>
          <w:rStyle w:val="FootnoteReference"/>
        </w:rPr>
        <w:footnoteRef/>
      </w:r>
      <w:r>
        <w:t xml:space="preserve"> </w:t>
      </w:r>
      <w:proofErr w:type="gramStart"/>
      <w:r w:rsidRPr="00581A8D">
        <w:t xml:space="preserve">Wilbur Foster Creighton, </w:t>
      </w:r>
      <w:r w:rsidRPr="00581A8D">
        <w:rPr>
          <w:i/>
        </w:rPr>
        <w:t>Building of Nashville</w:t>
      </w:r>
      <w:r w:rsidRPr="00581A8D">
        <w:t xml:space="preserve"> (Nashville: Wilbur Foster Creighton, 1969), 144.</w:t>
      </w:r>
      <w:proofErr w:type="gramEnd"/>
    </w:p>
  </w:footnote>
  <w:footnote w:id="54">
    <w:p w:rsidR="002F5AC7" w:rsidRDefault="002F5AC7">
      <w:pPr>
        <w:pStyle w:val="FootnoteText"/>
      </w:pPr>
      <w:r>
        <w:rPr>
          <w:rStyle w:val="FootnoteReference"/>
        </w:rPr>
        <w:footnoteRef/>
      </w:r>
      <w:r>
        <w:t xml:space="preserve"> </w:t>
      </w:r>
      <w:r w:rsidRPr="00801DB7">
        <w:t xml:space="preserve">Herman </w:t>
      </w:r>
      <w:proofErr w:type="spellStart"/>
      <w:r w:rsidRPr="00801DB7">
        <w:t>Justi</w:t>
      </w:r>
      <w:proofErr w:type="spellEnd"/>
      <w:r w:rsidRPr="00801DB7">
        <w:t xml:space="preserve">, ed., </w:t>
      </w:r>
      <w:proofErr w:type="gramStart"/>
      <w:r w:rsidRPr="00801DB7">
        <w:rPr>
          <w:i/>
        </w:rPr>
        <w:t>The</w:t>
      </w:r>
      <w:proofErr w:type="gramEnd"/>
      <w:r w:rsidRPr="00801DB7">
        <w:rPr>
          <w:i/>
        </w:rPr>
        <w:t xml:space="preserve"> Official History of the Tennessee Centennial Exposition</w:t>
      </w:r>
      <w:r w:rsidRPr="00801DB7">
        <w:t xml:space="preserve"> (Nashville: Brandon Printing, 1898), </w:t>
      </w:r>
      <w:r>
        <w:t>120.</w:t>
      </w:r>
    </w:p>
  </w:footnote>
  <w:footnote w:id="55">
    <w:p w:rsidR="002F5AC7" w:rsidRDefault="002F5AC7">
      <w:pPr>
        <w:pStyle w:val="FootnoteText"/>
      </w:pPr>
      <w:r>
        <w:rPr>
          <w:rStyle w:val="FootnoteReference"/>
        </w:rPr>
        <w:footnoteRef/>
      </w:r>
      <w:r>
        <w:t xml:space="preserve"> </w:t>
      </w:r>
      <w:proofErr w:type="gramStart"/>
      <w:r w:rsidRPr="00801DB7">
        <w:t xml:space="preserve">Wilbur Foster Creighton, </w:t>
      </w:r>
      <w:r w:rsidRPr="00801DB7">
        <w:rPr>
          <w:i/>
        </w:rPr>
        <w:t>Building of Nashville</w:t>
      </w:r>
      <w:r w:rsidRPr="00801DB7">
        <w:t xml:space="preserve"> (Nashville: Wilbur Foster Creighton, 1969),</w:t>
      </w:r>
      <w:r>
        <w:t xml:space="preserve"> 144.</w:t>
      </w:r>
      <w:proofErr w:type="gramEnd"/>
    </w:p>
  </w:footnote>
  <w:footnote w:id="56">
    <w:p w:rsidR="002F5AC7" w:rsidRDefault="002F5AC7">
      <w:pPr>
        <w:pStyle w:val="FootnoteText"/>
      </w:pPr>
      <w:r>
        <w:rPr>
          <w:rStyle w:val="FootnoteReference"/>
        </w:rPr>
        <w:footnoteRef/>
      </w:r>
      <w:r>
        <w:t xml:space="preserve"> </w:t>
      </w:r>
      <w:proofErr w:type="gramStart"/>
      <w:r>
        <w:t>Ibid.,</w:t>
      </w:r>
      <w:proofErr w:type="gramEnd"/>
      <w:r>
        <w:t xml:space="preserve"> 144. </w:t>
      </w:r>
    </w:p>
  </w:footnote>
  <w:footnote w:id="57">
    <w:p w:rsidR="002F5AC7" w:rsidRDefault="002F5AC7">
      <w:pPr>
        <w:pStyle w:val="FootnoteText"/>
      </w:pPr>
      <w:r>
        <w:rPr>
          <w:rStyle w:val="FootnoteReference"/>
        </w:rPr>
        <w:footnoteRef/>
      </w:r>
      <w:r>
        <w:t xml:space="preserve"> </w:t>
      </w:r>
      <w:r w:rsidRPr="00877F6A">
        <w:t xml:space="preserve">Herman </w:t>
      </w:r>
      <w:proofErr w:type="spellStart"/>
      <w:r w:rsidRPr="00877F6A">
        <w:t>Justi</w:t>
      </w:r>
      <w:proofErr w:type="spellEnd"/>
      <w:r w:rsidRPr="00877F6A">
        <w:t xml:space="preserve">, ed., </w:t>
      </w:r>
      <w:r w:rsidRPr="005371BC">
        <w:rPr>
          <w:i/>
        </w:rPr>
        <w:t>The Official History of the Tennessee Centennial Exposition</w:t>
      </w:r>
      <w:r w:rsidRPr="00877F6A">
        <w:t xml:space="preserve"> (Nashville: Brandon Printing, 1898)</w:t>
      </w:r>
      <w:proofErr w:type="gramStart"/>
      <w:r w:rsidRPr="00877F6A">
        <w:t xml:space="preserve">, </w:t>
      </w:r>
      <w:r>
        <w:t xml:space="preserve"> 22</w:t>
      </w:r>
      <w:proofErr w:type="gramEnd"/>
      <w:r>
        <w:t>.</w:t>
      </w:r>
    </w:p>
  </w:footnote>
  <w:footnote w:id="58">
    <w:p w:rsidR="002F5AC7" w:rsidRDefault="002F5AC7">
      <w:pPr>
        <w:pStyle w:val="FootnoteText"/>
      </w:pPr>
      <w:r>
        <w:rPr>
          <w:rStyle w:val="FootnoteReference"/>
        </w:rPr>
        <w:footnoteRef/>
      </w:r>
      <w:r>
        <w:t xml:space="preserve"> </w:t>
      </w:r>
      <w:proofErr w:type="gramStart"/>
      <w:r>
        <w:t>Ibid.,</w:t>
      </w:r>
      <w:proofErr w:type="gramEnd"/>
      <w:r>
        <w:t xml:space="preserve"> 448.</w:t>
      </w:r>
    </w:p>
  </w:footnote>
  <w:footnote w:id="59">
    <w:p w:rsidR="002F5AC7" w:rsidRDefault="002F5AC7">
      <w:pPr>
        <w:pStyle w:val="FootnoteText"/>
      </w:pPr>
      <w:r>
        <w:rPr>
          <w:rStyle w:val="FootnoteReference"/>
        </w:rPr>
        <w:footnoteRef/>
      </w:r>
      <w:r w:rsidRPr="004B2E4B">
        <w:t xml:space="preserve">The history and existence of the Parthenon </w:t>
      </w:r>
      <w:proofErr w:type="gramStart"/>
      <w:r w:rsidRPr="004B2E4B">
        <w:t>can be traced</w:t>
      </w:r>
      <w:proofErr w:type="gramEnd"/>
      <w:r w:rsidRPr="004B2E4B">
        <w:t xml:space="preserve"> even further to the Athenians selecting Athena as their goddess over Poseidon, a theme in the architecture of the Parthenon’s west pediment. </w:t>
      </w:r>
      <w:r>
        <w:t xml:space="preserve"> </w:t>
      </w:r>
    </w:p>
  </w:footnote>
  <w:footnote w:id="60">
    <w:p w:rsidR="002F5AC7" w:rsidRDefault="002F5AC7">
      <w:pPr>
        <w:pStyle w:val="FootnoteText"/>
      </w:pPr>
      <w:r>
        <w:rPr>
          <w:rStyle w:val="FootnoteReference"/>
        </w:rPr>
        <w:footnoteRef/>
      </w:r>
      <w:r>
        <w:t xml:space="preserve"> </w:t>
      </w:r>
      <w:r w:rsidRPr="0042027C">
        <w:t xml:space="preserve">John M. Camp, </w:t>
      </w:r>
      <w:proofErr w:type="gramStart"/>
      <w:r w:rsidRPr="0042027C">
        <w:rPr>
          <w:i/>
        </w:rPr>
        <w:t>The</w:t>
      </w:r>
      <w:proofErr w:type="gramEnd"/>
      <w:r w:rsidRPr="0042027C">
        <w:rPr>
          <w:i/>
        </w:rPr>
        <w:t xml:space="preserve"> Archaeology of Athens</w:t>
      </w:r>
      <w:r>
        <w:t xml:space="preserve"> (</w:t>
      </w:r>
      <w:r w:rsidRPr="0042027C">
        <w:t>New Haven: Yale UP, 2001</w:t>
      </w:r>
      <w:r>
        <w:t>), 47.</w:t>
      </w:r>
    </w:p>
  </w:footnote>
  <w:footnote w:id="61">
    <w:p w:rsidR="002F5AC7" w:rsidRDefault="002F5AC7" w:rsidP="00921270">
      <w:pPr>
        <w:pStyle w:val="FootnoteText"/>
      </w:pPr>
      <w:r>
        <w:rPr>
          <w:rStyle w:val="FootnoteReference"/>
        </w:rPr>
        <w:footnoteRef/>
      </w:r>
      <w:r>
        <w:t xml:space="preserve"> </w:t>
      </w:r>
      <w:r w:rsidRPr="0042027C">
        <w:t>Joan Breton</w:t>
      </w:r>
      <w:r w:rsidRPr="004F022B">
        <w:t xml:space="preserve"> </w:t>
      </w:r>
      <w:r w:rsidRPr="0042027C">
        <w:t xml:space="preserve">Connelly. </w:t>
      </w:r>
      <w:r w:rsidRPr="004F022B">
        <w:rPr>
          <w:i/>
        </w:rPr>
        <w:t>The Parthenon Enigma</w:t>
      </w:r>
      <w:r w:rsidRPr="0042027C">
        <w:t xml:space="preserve"> </w:t>
      </w:r>
      <w:r>
        <w:t>(</w:t>
      </w:r>
      <w:r w:rsidRPr="0042027C">
        <w:t>New York: Alfred A. Knopf, 2014</w:t>
      </w:r>
      <w:r>
        <w:t>), 72</w:t>
      </w:r>
      <w:r w:rsidRPr="0042027C">
        <w:t>.</w:t>
      </w:r>
    </w:p>
  </w:footnote>
  <w:footnote w:id="62">
    <w:p w:rsidR="002F5AC7" w:rsidRDefault="002F5AC7">
      <w:pPr>
        <w:pStyle w:val="FootnoteText"/>
      </w:pPr>
      <w:r>
        <w:rPr>
          <w:rStyle w:val="FootnoteReference"/>
        </w:rPr>
        <w:footnoteRef/>
      </w:r>
      <w:r>
        <w:t xml:space="preserve"> </w:t>
      </w:r>
      <w:proofErr w:type="gramStart"/>
      <w:r>
        <w:t>Ibid.,</w:t>
      </w:r>
      <w:proofErr w:type="gramEnd"/>
      <w:r>
        <w:t xml:space="preserve"> 82, 121.</w:t>
      </w:r>
    </w:p>
  </w:footnote>
  <w:footnote w:id="63">
    <w:p w:rsidR="002F5AC7" w:rsidRDefault="002F5AC7">
      <w:pPr>
        <w:pStyle w:val="FootnoteText"/>
      </w:pPr>
      <w:r>
        <w:rPr>
          <w:rStyle w:val="FootnoteReference"/>
        </w:rPr>
        <w:footnoteRef/>
      </w:r>
      <w:r>
        <w:t xml:space="preserve"> </w:t>
      </w:r>
      <w:r w:rsidRPr="004F022B">
        <w:t xml:space="preserve">John M. Camp, </w:t>
      </w:r>
      <w:proofErr w:type="gramStart"/>
      <w:r w:rsidRPr="004F022B">
        <w:rPr>
          <w:i/>
        </w:rPr>
        <w:t>The</w:t>
      </w:r>
      <w:proofErr w:type="gramEnd"/>
      <w:r w:rsidRPr="004F022B">
        <w:rPr>
          <w:i/>
        </w:rPr>
        <w:t xml:space="preserve"> Archaeology of Athens</w:t>
      </w:r>
      <w:r w:rsidRPr="004F022B">
        <w:t xml:space="preserve"> (New Haven: Yale UP, 2001),</w:t>
      </w:r>
      <w:r>
        <w:t xml:space="preserve"> 61. </w:t>
      </w:r>
    </w:p>
  </w:footnote>
  <w:footnote w:id="64">
    <w:p w:rsidR="002F5AC7" w:rsidRDefault="002F5AC7">
      <w:pPr>
        <w:pStyle w:val="FootnoteText"/>
      </w:pPr>
      <w:r>
        <w:rPr>
          <w:rStyle w:val="FootnoteReference"/>
        </w:rPr>
        <w:footnoteRef/>
      </w:r>
      <w:r>
        <w:t xml:space="preserve"> </w:t>
      </w:r>
      <w:r w:rsidRPr="00A71BC7">
        <w:t xml:space="preserve">John M. Camp, </w:t>
      </w:r>
      <w:proofErr w:type="gramStart"/>
      <w:r w:rsidRPr="00A71BC7">
        <w:t>The</w:t>
      </w:r>
      <w:proofErr w:type="gramEnd"/>
      <w:r w:rsidRPr="00A71BC7">
        <w:t xml:space="preserve"> Archaeology of Athens (New Haven: Yale UP, 2001),</w:t>
      </w:r>
      <w:r>
        <w:t xml:space="preserve"> 72.</w:t>
      </w:r>
    </w:p>
  </w:footnote>
  <w:footnote w:id="65">
    <w:p w:rsidR="002F5AC7" w:rsidRDefault="002F5AC7">
      <w:pPr>
        <w:pStyle w:val="FootnoteText"/>
      </w:pPr>
      <w:r>
        <w:rPr>
          <w:rStyle w:val="FootnoteReference"/>
        </w:rPr>
        <w:footnoteRef/>
      </w:r>
      <w:r>
        <w:t xml:space="preserve"> </w:t>
      </w:r>
      <w:r w:rsidRPr="00CA4F1D">
        <w:t>Plutarch</w:t>
      </w:r>
      <w:r>
        <w:t>,</w:t>
      </w:r>
      <w:r w:rsidRPr="00CA4F1D">
        <w:t xml:space="preserve"> </w:t>
      </w:r>
      <w:r>
        <w:rPr>
          <w:i/>
        </w:rPr>
        <w:t xml:space="preserve">Plutarch’s Lives: </w:t>
      </w:r>
      <w:r w:rsidRPr="00EB5BD3">
        <w:rPr>
          <w:i/>
        </w:rPr>
        <w:t>Pericles</w:t>
      </w:r>
      <w:r>
        <w:t xml:space="preserve">, trans. </w:t>
      </w:r>
      <w:proofErr w:type="spellStart"/>
      <w:r>
        <w:t>Bernadontte</w:t>
      </w:r>
      <w:proofErr w:type="spellEnd"/>
      <w:r>
        <w:t xml:space="preserve"> Perrin.</w:t>
      </w:r>
      <w:r w:rsidRPr="00CA4F1D">
        <w:t xml:space="preserve"> </w:t>
      </w:r>
      <w:proofErr w:type="gramStart"/>
      <w:r w:rsidRPr="00082D9E">
        <w:t>Loeb Classical Library</w:t>
      </w:r>
      <w:r>
        <w:rPr>
          <w:i/>
        </w:rPr>
        <w:t>.</w:t>
      </w:r>
      <w:proofErr w:type="gramEnd"/>
      <w:r>
        <w:rPr>
          <w:i/>
        </w:rPr>
        <w:t xml:space="preserve"> </w:t>
      </w:r>
      <w:proofErr w:type="gramStart"/>
      <w:r>
        <w:t>(Cambridge: Harvard UP, 1984), 12.1-2</w:t>
      </w:r>
      <w:r w:rsidRPr="006A48CE">
        <w:t>.</w:t>
      </w:r>
      <w:proofErr w:type="gramEnd"/>
    </w:p>
  </w:footnote>
  <w:footnote w:id="66">
    <w:p w:rsidR="002F5AC7" w:rsidRDefault="002F5AC7">
      <w:pPr>
        <w:pStyle w:val="FootnoteText"/>
      </w:pPr>
      <w:r>
        <w:rPr>
          <w:rStyle w:val="FootnoteReference"/>
        </w:rPr>
        <w:footnoteRef/>
      </w:r>
      <w:r>
        <w:t xml:space="preserve"> </w:t>
      </w:r>
      <w:proofErr w:type="gramStart"/>
      <w:r>
        <w:t>Ibid.,</w:t>
      </w:r>
      <w:proofErr w:type="gramEnd"/>
      <w:r>
        <w:t xml:space="preserve"> 12.4.  </w:t>
      </w:r>
    </w:p>
  </w:footnote>
  <w:footnote w:id="67">
    <w:p w:rsidR="002F5AC7" w:rsidRDefault="002F5AC7">
      <w:pPr>
        <w:pStyle w:val="FootnoteText"/>
      </w:pPr>
      <w:r>
        <w:rPr>
          <w:rStyle w:val="FootnoteReference"/>
        </w:rPr>
        <w:footnoteRef/>
      </w:r>
      <w:r>
        <w:t xml:space="preserve"> </w:t>
      </w:r>
      <w:proofErr w:type="gramStart"/>
      <w:r w:rsidRPr="00B422C1">
        <w:t>Ibid.,</w:t>
      </w:r>
      <w:proofErr w:type="gramEnd"/>
      <w:r w:rsidRPr="00B422C1">
        <w:t xml:space="preserve"> 12.4.  </w:t>
      </w:r>
    </w:p>
  </w:footnote>
  <w:footnote w:id="68">
    <w:p w:rsidR="002F5AC7" w:rsidRDefault="002F5AC7">
      <w:pPr>
        <w:pStyle w:val="FootnoteText"/>
      </w:pPr>
      <w:r>
        <w:rPr>
          <w:rStyle w:val="FootnoteReference"/>
        </w:rPr>
        <w:footnoteRef/>
      </w:r>
      <w:r>
        <w:t xml:space="preserve"> </w:t>
      </w:r>
      <w:r w:rsidRPr="00B422C1">
        <w:t xml:space="preserve">Mary </w:t>
      </w:r>
      <w:r>
        <w:t>Beard,</w:t>
      </w:r>
      <w:r w:rsidRPr="00B422C1">
        <w:t xml:space="preserve"> </w:t>
      </w:r>
      <w:proofErr w:type="gramStart"/>
      <w:r w:rsidRPr="00B422C1">
        <w:rPr>
          <w:i/>
        </w:rPr>
        <w:t>The</w:t>
      </w:r>
      <w:proofErr w:type="gramEnd"/>
      <w:r w:rsidRPr="00B422C1">
        <w:rPr>
          <w:i/>
        </w:rPr>
        <w:t xml:space="preserve"> Parthenon</w:t>
      </w:r>
      <w:r>
        <w:t xml:space="preserve"> (</w:t>
      </w:r>
      <w:r w:rsidRPr="00B422C1">
        <w:t>Cambridge: Harvard UP, 2002</w:t>
      </w:r>
      <w:r>
        <w:t>), 40</w:t>
      </w:r>
      <w:r w:rsidRPr="00B422C1">
        <w:t>.</w:t>
      </w:r>
    </w:p>
  </w:footnote>
  <w:footnote w:id="69">
    <w:p w:rsidR="002F5AC7" w:rsidRDefault="002F5AC7">
      <w:pPr>
        <w:pStyle w:val="FootnoteText"/>
      </w:pPr>
      <w:r>
        <w:rPr>
          <w:rStyle w:val="FootnoteReference"/>
        </w:rPr>
        <w:footnoteRef/>
      </w:r>
      <w:r>
        <w:t xml:space="preserve"> </w:t>
      </w:r>
      <w:r w:rsidRPr="00CA4F1D">
        <w:t>Plutarch</w:t>
      </w:r>
      <w:r>
        <w:t>,</w:t>
      </w:r>
      <w:r w:rsidRPr="00CA4F1D">
        <w:t xml:space="preserve"> </w:t>
      </w:r>
      <w:r>
        <w:rPr>
          <w:i/>
        </w:rPr>
        <w:t xml:space="preserve">Plutarch’s Lives: </w:t>
      </w:r>
      <w:r w:rsidRPr="00EB5BD3">
        <w:rPr>
          <w:i/>
        </w:rPr>
        <w:t>Pericles</w:t>
      </w:r>
      <w:r>
        <w:t xml:space="preserve">, trans. </w:t>
      </w:r>
      <w:proofErr w:type="spellStart"/>
      <w:r>
        <w:t>Bernadontte</w:t>
      </w:r>
      <w:proofErr w:type="spellEnd"/>
      <w:r>
        <w:t xml:space="preserve"> Perrin.</w:t>
      </w:r>
      <w:r w:rsidRPr="00CA4F1D">
        <w:t xml:space="preserve"> </w:t>
      </w:r>
      <w:proofErr w:type="gramStart"/>
      <w:r w:rsidRPr="00082D9E">
        <w:t>The Loeb Classical Library</w:t>
      </w:r>
      <w:r>
        <w:rPr>
          <w:i/>
        </w:rPr>
        <w:t>.</w:t>
      </w:r>
      <w:proofErr w:type="gramEnd"/>
      <w:r>
        <w:rPr>
          <w:i/>
        </w:rPr>
        <w:t xml:space="preserve"> </w:t>
      </w:r>
      <w:proofErr w:type="gramStart"/>
      <w:r>
        <w:t>(Cambridge: Harvard UP, 1984), 13.4.</w:t>
      </w:r>
      <w:proofErr w:type="gramEnd"/>
    </w:p>
  </w:footnote>
  <w:footnote w:id="70">
    <w:p w:rsidR="002F5AC7" w:rsidRDefault="002F5AC7">
      <w:pPr>
        <w:pStyle w:val="FootnoteText"/>
      </w:pPr>
      <w:r>
        <w:rPr>
          <w:rStyle w:val="FootnoteReference"/>
        </w:rPr>
        <w:footnoteRef/>
      </w:r>
      <w:r>
        <w:t xml:space="preserve"> </w:t>
      </w:r>
      <w:r w:rsidRPr="00152775">
        <w:t xml:space="preserve">John M. Camp, </w:t>
      </w:r>
      <w:proofErr w:type="gramStart"/>
      <w:r w:rsidRPr="00242334">
        <w:rPr>
          <w:i/>
        </w:rPr>
        <w:t>The</w:t>
      </w:r>
      <w:proofErr w:type="gramEnd"/>
      <w:r w:rsidRPr="00242334">
        <w:rPr>
          <w:i/>
        </w:rPr>
        <w:t xml:space="preserve"> Archaeology of Athens</w:t>
      </w:r>
      <w:r w:rsidRPr="00152775">
        <w:t xml:space="preserve"> (New Haven: Yale UP, 2001),</w:t>
      </w:r>
      <w:r>
        <w:t xml:space="preserve"> 74.</w:t>
      </w:r>
    </w:p>
  </w:footnote>
  <w:footnote w:id="71">
    <w:p w:rsidR="002F5AC7" w:rsidRPr="002A4488" w:rsidRDefault="002F5AC7" w:rsidP="00C71CDE">
      <w:pPr>
        <w:pStyle w:val="FootnoteText"/>
        <w:contextualSpacing/>
        <w:rPr>
          <w:rFonts w:ascii="Times New Roman" w:hAnsi="Times New Roman" w:cs="Times New Roman"/>
        </w:rPr>
      </w:pPr>
      <w:r w:rsidRPr="002A4488">
        <w:rPr>
          <w:rStyle w:val="FootnoteReference"/>
          <w:rFonts w:ascii="Times New Roman" w:hAnsi="Times New Roman" w:cs="Times New Roman"/>
        </w:rPr>
        <w:footnoteRef/>
      </w:r>
      <w:r w:rsidRPr="002A4488">
        <w:rPr>
          <w:rFonts w:ascii="Times New Roman" w:hAnsi="Times New Roman" w:cs="Times New Roman"/>
        </w:rPr>
        <w:t xml:space="preserve"> </w:t>
      </w:r>
      <w:r w:rsidRPr="00C71CDE">
        <w:rPr>
          <w:rFonts w:cs="Times New Roman"/>
        </w:rPr>
        <w:t>Plutarch, in his historical accounts almost five centuries later, refreshed Greek citizens’ memory of their history that was gradually fading and explained in full detail every skill set n</w:t>
      </w:r>
      <w:r>
        <w:rPr>
          <w:rFonts w:cs="Times New Roman"/>
        </w:rPr>
        <w:t xml:space="preserve">eeded for the Periklian program. Plutarch, </w:t>
      </w:r>
      <w:r w:rsidRPr="00152775">
        <w:rPr>
          <w:rFonts w:cs="Times New Roman"/>
          <w:i/>
        </w:rPr>
        <w:t>Plutarch’s Lives</w:t>
      </w:r>
      <w:r w:rsidR="00082D9E">
        <w:rPr>
          <w:rFonts w:cs="Times New Roman"/>
          <w:i/>
        </w:rPr>
        <w:t>:</w:t>
      </w:r>
      <w:r w:rsidRPr="00152775">
        <w:rPr>
          <w:rFonts w:cs="Times New Roman"/>
          <w:i/>
        </w:rPr>
        <w:t xml:space="preserve"> Pericles</w:t>
      </w:r>
      <w:r w:rsidR="00082D9E">
        <w:rPr>
          <w:rFonts w:cs="Times New Roman"/>
        </w:rPr>
        <w:t xml:space="preserve">, trans. </w:t>
      </w:r>
      <w:proofErr w:type="spellStart"/>
      <w:r w:rsidR="00082D9E">
        <w:rPr>
          <w:rFonts w:cs="Times New Roman"/>
        </w:rPr>
        <w:t>Bernadontte</w:t>
      </w:r>
      <w:proofErr w:type="spellEnd"/>
      <w:r w:rsidR="00082D9E">
        <w:rPr>
          <w:rFonts w:cs="Times New Roman"/>
        </w:rPr>
        <w:t xml:space="preserve"> Perrin. </w:t>
      </w:r>
      <w:proofErr w:type="gramStart"/>
      <w:r w:rsidR="00082D9E">
        <w:rPr>
          <w:rFonts w:cs="Times New Roman"/>
        </w:rPr>
        <w:t>Loeb Classical Library.</w:t>
      </w:r>
      <w:proofErr w:type="gramEnd"/>
      <w:r w:rsidR="00082D9E">
        <w:rPr>
          <w:rFonts w:cs="Times New Roman"/>
        </w:rPr>
        <w:t xml:space="preserve"> </w:t>
      </w:r>
      <w:proofErr w:type="gramStart"/>
      <w:r w:rsidRPr="00152775">
        <w:rPr>
          <w:rFonts w:cs="Times New Roman"/>
        </w:rPr>
        <w:t>(Cambridge: Harvard UP, 1984), 12.6-7.</w:t>
      </w:r>
      <w:proofErr w:type="gramEnd"/>
      <w:r w:rsidRPr="00152775">
        <w:rPr>
          <w:rFonts w:cs="Times New Roman"/>
        </w:rPr>
        <w:t xml:space="preserve"> </w:t>
      </w:r>
    </w:p>
  </w:footnote>
  <w:footnote w:id="72">
    <w:p w:rsidR="002F5AC7" w:rsidRDefault="002F5AC7" w:rsidP="00C33C7A">
      <w:pPr>
        <w:pStyle w:val="FootnoteText"/>
      </w:pPr>
      <w:r>
        <w:rPr>
          <w:rStyle w:val="FootnoteReference"/>
        </w:rPr>
        <w:footnoteRef/>
      </w:r>
      <w:r>
        <w:t xml:space="preserve"> </w:t>
      </w:r>
      <w:r w:rsidRPr="00152775">
        <w:t xml:space="preserve">Joan Breton Connelly. </w:t>
      </w:r>
      <w:r w:rsidRPr="00152775">
        <w:rPr>
          <w:i/>
        </w:rPr>
        <w:t>The Parthenon Enigma</w:t>
      </w:r>
      <w:r w:rsidRPr="00152775">
        <w:t xml:space="preserve"> (New York: Alfred A. Knopf, 2014),</w:t>
      </w:r>
      <w:r>
        <w:t xml:space="preserve"> 223. </w:t>
      </w:r>
    </w:p>
  </w:footnote>
  <w:footnote w:id="73">
    <w:p w:rsidR="002F5AC7" w:rsidRDefault="002F5AC7" w:rsidP="00C33C7A">
      <w:pPr>
        <w:pStyle w:val="FootnoteText"/>
      </w:pPr>
      <w:r>
        <w:rPr>
          <w:rStyle w:val="FootnoteReference"/>
        </w:rPr>
        <w:footnoteRef/>
      </w:r>
      <w:r>
        <w:t xml:space="preserve"> </w:t>
      </w:r>
      <w:proofErr w:type="gramStart"/>
      <w:r>
        <w:t>Ibid.,</w:t>
      </w:r>
      <w:proofErr w:type="gramEnd"/>
      <w:r>
        <w:t xml:space="preserve"> 227. </w:t>
      </w:r>
    </w:p>
  </w:footnote>
  <w:footnote w:id="74">
    <w:p w:rsidR="002F5AC7" w:rsidRDefault="002F5AC7" w:rsidP="00F96CEF">
      <w:pPr>
        <w:pStyle w:val="FootnoteText"/>
      </w:pPr>
      <w:r>
        <w:rPr>
          <w:rStyle w:val="FootnoteReference"/>
        </w:rPr>
        <w:footnoteRef/>
      </w:r>
      <w:r>
        <w:t xml:space="preserve"> </w:t>
      </w:r>
      <w:r w:rsidRPr="005B64B4">
        <w:t xml:space="preserve">Pausanias, </w:t>
      </w:r>
      <w:r w:rsidRPr="005B64B4">
        <w:rPr>
          <w:i/>
        </w:rPr>
        <w:t xml:space="preserve">Description of Greece Book </w:t>
      </w:r>
      <w:proofErr w:type="gramStart"/>
      <w:r w:rsidRPr="005B64B4">
        <w:rPr>
          <w:i/>
        </w:rPr>
        <w:t>I</w:t>
      </w:r>
      <w:proofErr w:type="gramEnd"/>
      <w:r w:rsidRPr="005B64B4">
        <w:rPr>
          <w:i/>
        </w:rPr>
        <w:t xml:space="preserve">: Attica, </w:t>
      </w:r>
      <w:r w:rsidRPr="005B64B4">
        <w:t>trans. W.H.S. Jones</w:t>
      </w:r>
      <w:r>
        <w:t>.</w:t>
      </w:r>
      <w:r w:rsidRPr="005B64B4">
        <w:t xml:space="preserve"> </w:t>
      </w:r>
      <w:proofErr w:type="gramStart"/>
      <w:r w:rsidRPr="008E144A">
        <w:t>Loeb Clas</w:t>
      </w:r>
      <w:r w:rsidR="008E144A" w:rsidRPr="008E144A">
        <w:t>sical Library</w:t>
      </w:r>
      <w:r w:rsidR="008E144A">
        <w:rPr>
          <w:i/>
        </w:rPr>
        <w:t>.</w:t>
      </w:r>
      <w:proofErr w:type="gramEnd"/>
      <w:r w:rsidR="008E144A">
        <w:rPr>
          <w:i/>
        </w:rPr>
        <w:t xml:space="preserve"> </w:t>
      </w:r>
      <w:proofErr w:type="gramStart"/>
      <w:r w:rsidRPr="005B64B4">
        <w:t>(Cambridge: Harvard UP, 1992</w:t>
      </w:r>
      <w:r>
        <w:t>), 28.2.</w:t>
      </w:r>
      <w:proofErr w:type="gramEnd"/>
    </w:p>
  </w:footnote>
  <w:footnote w:id="75">
    <w:p w:rsidR="002F5AC7" w:rsidRDefault="002F5AC7" w:rsidP="003925A9">
      <w:pPr>
        <w:pStyle w:val="FootnoteText"/>
      </w:pPr>
      <w:r>
        <w:rPr>
          <w:rStyle w:val="FootnoteReference"/>
        </w:rPr>
        <w:footnoteRef/>
      </w:r>
      <w:r>
        <w:t xml:space="preserve"> </w:t>
      </w:r>
      <w:r w:rsidRPr="005B64B4">
        <w:t xml:space="preserve">Joan Breton Connelly. </w:t>
      </w:r>
      <w:r w:rsidRPr="005B64B4">
        <w:rPr>
          <w:i/>
        </w:rPr>
        <w:t>The Parthenon Enigma</w:t>
      </w:r>
      <w:r w:rsidRPr="005B64B4">
        <w:t xml:space="preserve"> (New York: Alfred A. Knopf, 2014), </w:t>
      </w:r>
      <w:r>
        <w:t>228.</w:t>
      </w:r>
    </w:p>
  </w:footnote>
  <w:footnote w:id="76">
    <w:p w:rsidR="002F5AC7" w:rsidRDefault="002F5AC7">
      <w:pPr>
        <w:pStyle w:val="FootnoteText"/>
      </w:pPr>
      <w:r>
        <w:rPr>
          <w:rStyle w:val="FootnoteReference"/>
        </w:rPr>
        <w:footnoteRef/>
      </w:r>
      <w:r>
        <w:t xml:space="preserve"> </w:t>
      </w:r>
      <w:r w:rsidRPr="00152775">
        <w:t xml:space="preserve">John M. Camp, </w:t>
      </w:r>
      <w:proofErr w:type="gramStart"/>
      <w:r w:rsidRPr="00242334">
        <w:rPr>
          <w:i/>
        </w:rPr>
        <w:t>The</w:t>
      </w:r>
      <w:proofErr w:type="gramEnd"/>
      <w:r w:rsidRPr="00242334">
        <w:rPr>
          <w:i/>
        </w:rPr>
        <w:t xml:space="preserve"> Archaeology of Athens</w:t>
      </w:r>
      <w:r w:rsidRPr="00152775">
        <w:t xml:space="preserve"> (New Haven: Yale UP, 2001),</w:t>
      </w:r>
      <w:r>
        <w:t xml:space="preserve"> 74.</w:t>
      </w:r>
    </w:p>
  </w:footnote>
  <w:footnote w:id="77">
    <w:p w:rsidR="002F5AC7" w:rsidRDefault="002F5AC7">
      <w:pPr>
        <w:pStyle w:val="FootnoteText"/>
      </w:pPr>
      <w:r>
        <w:rPr>
          <w:rStyle w:val="FootnoteReference"/>
        </w:rPr>
        <w:footnoteRef/>
      </w:r>
      <w:r>
        <w:t xml:space="preserve"> </w:t>
      </w:r>
      <w:r w:rsidRPr="00CA4F1D">
        <w:t>Plutarch</w:t>
      </w:r>
      <w:r>
        <w:t>,</w:t>
      </w:r>
      <w:r w:rsidRPr="00CA4F1D">
        <w:t xml:space="preserve"> </w:t>
      </w:r>
      <w:r>
        <w:rPr>
          <w:i/>
        </w:rPr>
        <w:t xml:space="preserve">Plutarch’s Lives: </w:t>
      </w:r>
      <w:r w:rsidRPr="00EB5BD3">
        <w:rPr>
          <w:i/>
        </w:rPr>
        <w:t>Pericles</w:t>
      </w:r>
      <w:r>
        <w:t xml:space="preserve">, trans. </w:t>
      </w:r>
      <w:proofErr w:type="spellStart"/>
      <w:r>
        <w:t>Bernadontte</w:t>
      </w:r>
      <w:proofErr w:type="spellEnd"/>
      <w:r>
        <w:t xml:space="preserve"> Perrin.</w:t>
      </w:r>
      <w:r w:rsidRPr="00CA4F1D">
        <w:t xml:space="preserve"> </w:t>
      </w:r>
      <w:proofErr w:type="gramStart"/>
      <w:r w:rsidRPr="008E144A">
        <w:t>Loeb Classical Library</w:t>
      </w:r>
      <w:r w:rsidR="008E144A">
        <w:rPr>
          <w:i/>
        </w:rPr>
        <w:t>.</w:t>
      </w:r>
      <w:proofErr w:type="gramEnd"/>
      <w:r>
        <w:rPr>
          <w:i/>
        </w:rPr>
        <w:t xml:space="preserve"> </w:t>
      </w:r>
      <w:proofErr w:type="gramStart"/>
      <w:r>
        <w:t>(Cambridge: Harvard UP, 1984), 12.6-7.</w:t>
      </w:r>
      <w:proofErr w:type="gramEnd"/>
    </w:p>
  </w:footnote>
  <w:footnote w:id="78">
    <w:p w:rsidR="002F5AC7" w:rsidRPr="000F786C" w:rsidRDefault="002F5AC7" w:rsidP="000F786C">
      <w:pPr>
        <w:pStyle w:val="FootnoteText"/>
      </w:pPr>
      <w:r>
        <w:rPr>
          <w:rStyle w:val="FootnoteReference"/>
        </w:rPr>
        <w:footnoteRef/>
      </w:r>
      <w:r>
        <w:t xml:space="preserve"> </w:t>
      </w:r>
      <w:r w:rsidRPr="000F786C">
        <w:t>Seventeen columns stood along the sides with eight at each end (counting the corner columns twice)</w:t>
      </w:r>
      <w:r>
        <w:t xml:space="preserve"> (See Figure 3-6)</w:t>
      </w:r>
      <w:r w:rsidRPr="000F786C">
        <w:t>, modifying the normal six column style of the Doric order. Below the columns, the stereobate, or lower two steps, led to the stylobate, or top step. On the stylobate, the columns’ shafts rose (each with twenty flutes) to the capitals of the Doric order. The entablature above the capitals and below the pediments includes the architrave just above the capitals and the Doric frieze with alternating metopes and triglyphs between the architrave and the pediments. Additionally, the Ionic frieze runs just inside inner porch around the Parthenon. Enormous amounts of sculpture adorn the above pediments and rooftop corners.</w:t>
      </w:r>
    </w:p>
    <w:p w:rsidR="002F5AC7" w:rsidRDefault="002F5AC7">
      <w:pPr>
        <w:pStyle w:val="FootnoteText"/>
      </w:pPr>
    </w:p>
  </w:footnote>
  <w:footnote w:id="79">
    <w:p w:rsidR="002F5AC7" w:rsidRPr="000F786C" w:rsidRDefault="002F5AC7" w:rsidP="00733DB3">
      <w:pPr>
        <w:pStyle w:val="FootnoteText"/>
      </w:pPr>
      <w:r>
        <w:rPr>
          <w:rStyle w:val="FootnoteReference"/>
        </w:rPr>
        <w:footnoteRef/>
      </w:r>
      <w:r>
        <w:t xml:space="preserve"> </w:t>
      </w:r>
      <w:proofErr w:type="gramStart"/>
      <w:r w:rsidRPr="000F786C">
        <w:t>The interior plan of the Parthenon consists of four stages, beginning from the east end: the “front porch (</w:t>
      </w:r>
      <w:r w:rsidRPr="000F786C">
        <w:rPr>
          <w:i/>
        </w:rPr>
        <w:t>pronaos</w:t>
      </w:r>
      <w:r w:rsidRPr="000F786C">
        <w:t>) with six Doric columns, the ‘hundred-foot’ cella, or sanctuary proper (</w:t>
      </w:r>
      <w:r w:rsidRPr="000F786C">
        <w:rPr>
          <w:i/>
        </w:rPr>
        <w:t>hekatompedes naos</w:t>
      </w:r>
      <w:r w:rsidRPr="000F786C">
        <w:t xml:space="preserve">) [containing forty-six columns and housing the statue of Athena]; a separate back chamber, known in antiquity as the </w:t>
      </w:r>
      <w:r w:rsidRPr="000F786C">
        <w:rPr>
          <w:i/>
        </w:rPr>
        <w:t>parthenon</w:t>
      </w:r>
      <w:r w:rsidRPr="000F786C">
        <w:t xml:space="preserve"> [the treasury room and believed to be the residing place of Athena containing four Ionic columns]; and a back porch (</w:t>
      </w:r>
      <w:r w:rsidRPr="000F786C">
        <w:rPr>
          <w:i/>
        </w:rPr>
        <w:t>opisthodomos</w:t>
      </w:r>
      <w:r w:rsidRPr="000F786C">
        <w:t>) [at the west end], also with six Doric columns.”</w:t>
      </w:r>
      <w:proofErr w:type="gramEnd"/>
      <w:r w:rsidRPr="000F786C">
        <w:t xml:space="preserve"> John M. Camp, </w:t>
      </w:r>
      <w:proofErr w:type="gramStart"/>
      <w:r w:rsidRPr="000F786C">
        <w:rPr>
          <w:i/>
        </w:rPr>
        <w:t>The</w:t>
      </w:r>
      <w:proofErr w:type="gramEnd"/>
      <w:r w:rsidRPr="000F786C">
        <w:rPr>
          <w:i/>
        </w:rPr>
        <w:t xml:space="preserve"> Archaeology of Athens</w:t>
      </w:r>
      <w:r w:rsidRPr="000F786C">
        <w:t xml:space="preserve"> (New Haven: Yale UP, 2001), 75.</w:t>
      </w:r>
    </w:p>
    <w:p w:rsidR="002F5AC7" w:rsidRDefault="002F5AC7" w:rsidP="00733DB3">
      <w:pPr>
        <w:pStyle w:val="FootnoteText"/>
      </w:pPr>
    </w:p>
  </w:footnote>
  <w:footnote w:id="80">
    <w:p w:rsidR="002F5AC7" w:rsidRDefault="002F5AC7">
      <w:pPr>
        <w:pStyle w:val="FootnoteText"/>
      </w:pPr>
      <w:r>
        <w:rPr>
          <w:rStyle w:val="FootnoteReference"/>
        </w:rPr>
        <w:footnoteRef/>
      </w:r>
      <w:r>
        <w:t xml:space="preserve"> </w:t>
      </w:r>
      <w:r w:rsidRPr="00D73377">
        <w:t xml:space="preserve">Joan Breton Connelly. </w:t>
      </w:r>
      <w:r w:rsidRPr="00D73377">
        <w:rPr>
          <w:i/>
        </w:rPr>
        <w:t>The Parthenon Enigma</w:t>
      </w:r>
      <w:r w:rsidRPr="00D73377">
        <w:t xml:space="preserve"> (New York: Alfred A. Knopf, 2014)</w:t>
      </w:r>
      <w:proofErr w:type="gramStart"/>
      <w:r w:rsidRPr="00D73377">
        <w:t xml:space="preserve">, </w:t>
      </w:r>
      <w:r>
        <w:t xml:space="preserve"> 230</w:t>
      </w:r>
      <w:proofErr w:type="gramEnd"/>
      <w:r>
        <w:t>.</w:t>
      </w:r>
    </w:p>
  </w:footnote>
  <w:footnote w:id="81">
    <w:p w:rsidR="002F5AC7" w:rsidRDefault="002F5AC7">
      <w:pPr>
        <w:pStyle w:val="FootnoteText"/>
      </w:pPr>
      <w:r>
        <w:rPr>
          <w:rStyle w:val="FootnoteReference"/>
        </w:rPr>
        <w:footnoteRef/>
      </w:r>
      <w:r>
        <w:t xml:space="preserve"> </w:t>
      </w:r>
      <w:proofErr w:type="gramStart"/>
      <w:r>
        <w:t>Ibid.,</w:t>
      </w:r>
      <w:proofErr w:type="gramEnd"/>
      <w:r>
        <w:t xml:space="preserve"> 232.</w:t>
      </w:r>
    </w:p>
  </w:footnote>
  <w:footnote w:id="82">
    <w:p w:rsidR="002F5AC7" w:rsidRDefault="002F5AC7">
      <w:pPr>
        <w:pStyle w:val="FootnoteText"/>
      </w:pPr>
      <w:r>
        <w:rPr>
          <w:rStyle w:val="FootnoteReference"/>
        </w:rPr>
        <w:footnoteRef/>
      </w:r>
      <w:r>
        <w:t xml:space="preserve"> </w:t>
      </w:r>
      <w:proofErr w:type="gramStart"/>
      <w:r>
        <w:t>Ibid.,</w:t>
      </w:r>
      <w:proofErr w:type="gramEnd"/>
      <w:r>
        <w:t xml:space="preserve"> 230. </w:t>
      </w:r>
    </w:p>
  </w:footnote>
  <w:footnote w:id="83">
    <w:p w:rsidR="002F5AC7" w:rsidRDefault="002F5AC7">
      <w:pPr>
        <w:pStyle w:val="FootnoteText"/>
      </w:pPr>
      <w:r>
        <w:rPr>
          <w:rStyle w:val="FootnoteReference"/>
        </w:rPr>
        <w:footnoteRef/>
      </w:r>
      <w:r>
        <w:t xml:space="preserve"> </w:t>
      </w:r>
      <w:proofErr w:type="gramStart"/>
      <w:r>
        <w:t>Ibid.,</w:t>
      </w:r>
      <w:proofErr w:type="gramEnd"/>
      <w:r>
        <w:t xml:space="preserve"> 230.</w:t>
      </w:r>
    </w:p>
  </w:footnote>
  <w:footnote w:id="84">
    <w:p w:rsidR="002F5AC7" w:rsidRDefault="002F5AC7">
      <w:pPr>
        <w:pStyle w:val="FootnoteText"/>
      </w:pPr>
      <w:r>
        <w:rPr>
          <w:rStyle w:val="FootnoteReference"/>
        </w:rPr>
        <w:footnoteRef/>
      </w:r>
      <w:r>
        <w:t xml:space="preserve"> </w:t>
      </w:r>
      <w:proofErr w:type="gramStart"/>
      <w:r>
        <w:t>Ibid.,</w:t>
      </w:r>
      <w:proofErr w:type="gramEnd"/>
      <w:r>
        <w:t xml:space="preserve"> 230.</w:t>
      </w:r>
    </w:p>
  </w:footnote>
  <w:footnote w:id="85">
    <w:p w:rsidR="002F5AC7" w:rsidRDefault="002F5AC7">
      <w:pPr>
        <w:pStyle w:val="FootnoteText"/>
      </w:pPr>
      <w:r>
        <w:rPr>
          <w:rStyle w:val="FootnoteReference"/>
        </w:rPr>
        <w:footnoteRef/>
      </w:r>
      <w:r>
        <w:t xml:space="preserve"> </w:t>
      </w:r>
      <w:r w:rsidRPr="00783AAE">
        <w:t xml:space="preserve">Mary Beard, </w:t>
      </w:r>
      <w:proofErr w:type="gramStart"/>
      <w:r w:rsidRPr="003509EC">
        <w:rPr>
          <w:i/>
        </w:rPr>
        <w:t>The</w:t>
      </w:r>
      <w:proofErr w:type="gramEnd"/>
      <w:r w:rsidRPr="003509EC">
        <w:rPr>
          <w:i/>
        </w:rPr>
        <w:t xml:space="preserve"> Parthenon</w:t>
      </w:r>
      <w:r w:rsidRPr="00783AAE">
        <w:t xml:space="preserve"> (Cambridge: Harvard UP, 2002), </w:t>
      </w:r>
      <w:r>
        <w:t>133.</w:t>
      </w:r>
    </w:p>
  </w:footnote>
  <w:footnote w:id="86">
    <w:p w:rsidR="002F5AC7" w:rsidRPr="00D43A73" w:rsidRDefault="002F5AC7" w:rsidP="00D43A73">
      <w:pPr>
        <w:pStyle w:val="FootnoteText"/>
      </w:pPr>
      <w:r>
        <w:rPr>
          <w:rStyle w:val="FootnoteReference"/>
        </w:rPr>
        <w:footnoteRef/>
      </w:r>
      <w:r>
        <w:t xml:space="preserve"> Pausanias,</w:t>
      </w:r>
      <w:r w:rsidRPr="00D43A73">
        <w:t xml:space="preserve"> </w:t>
      </w:r>
      <w:r w:rsidRPr="00D43A73">
        <w:rPr>
          <w:i/>
        </w:rPr>
        <w:t xml:space="preserve">Description of Greece Book </w:t>
      </w:r>
      <w:proofErr w:type="gramStart"/>
      <w:r w:rsidRPr="00D43A73">
        <w:rPr>
          <w:i/>
        </w:rPr>
        <w:t>I</w:t>
      </w:r>
      <w:proofErr w:type="gramEnd"/>
      <w:r w:rsidRPr="00D43A73">
        <w:rPr>
          <w:i/>
        </w:rPr>
        <w:t>: Attica</w:t>
      </w:r>
      <w:r>
        <w:rPr>
          <w:i/>
        </w:rPr>
        <w:t>,</w:t>
      </w:r>
      <w:r w:rsidRPr="00D43A73">
        <w:rPr>
          <w:i/>
        </w:rPr>
        <w:t xml:space="preserve"> </w:t>
      </w:r>
      <w:r>
        <w:t>t</w:t>
      </w:r>
      <w:r w:rsidRPr="00D43A73">
        <w:t>rans. W.H.</w:t>
      </w:r>
      <w:r>
        <w:t xml:space="preserve">S. Jones. </w:t>
      </w:r>
      <w:proofErr w:type="gramStart"/>
      <w:r w:rsidRPr="008E144A">
        <w:t>L</w:t>
      </w:r>
      <w:r w:rsidR="008E144A" w:rsidRPr="008E144A">
        <w:t>oeb Classical Library</w:t>
      </w:r>
      <w:r w:rsidR="008E144A">
        <w:rPr>
          <w:i/>
        </w:rPr>
        <w:t>.</w:t>
      </w:r>
      <w:proofErr w:type="gramEnd"/>
      <w:r w:rsidR="008E144A">
        <w:rPr>
          <w:i/>
        </w:rPr>
        <w:t xml:space="preserve"> </w:t>
      </w:r>
      <w:proofErr w:type="gramStart"/>
      <w:r>
        <w:t>(</w:t>
      </w:r>
      <w:r w:rsidRPr="00D43A73">
        <w:t>Cambridge: Harvard UP, 1992</w:t>
      </w:r>
      <w:r>
        <w:t>), 26.5-7</w:t>
      </w:r>
      <w:r w:rsidRPr="00D43A73">
        <w:t>.</w:t>
      </w:r>
      <w:proofErr w:type="gramEnd"/>
      <w:r w:rsidRPr="00D43A73">
        <w:t xml:space="preserve"> </w:t>
      </w:r>
    </w:p>
    <w:p w:rsidR="002F5AC7" w:rsidRDefault="002F5AC7">
      <w:pPr>
        <w:pStyle w:val="FootnoteText"/>
      </w:pPr>
    </w:p>
  </w:footnote>
  <w:footnote w:id="87">
    <w:p w:rsidR="002F5AC7" w:rsidRDefault="002F5AC7">
      <w:pPr>
        <w:pStyle w:val="FootnoteText"/>
      </w:pPr>
      <w:r>
        <w:rPr>
          <w:rStyle w:val="FootnoteReference"/>
        </w:rPr>
        <w:footnoteRef/>
      </w:r>
      <w:r>
        <w:t xml:space="preserve"> </w:t>
      </w:r>
      <w:r w:rsidRPr="00C87887">
        <w:t xml:space="preserve">Joan Breton Connelly. </w:t>
      </w:r>
      <w:r w:rsidRPr="00C87887">
        <w:rPr>
          <w:i/>
        </w:rPr>
        <w:t>The Parthenon Enigma</w:t>
      </w:r>
      <w:r w:rsidRPr="00C87887">
        <w:t xml:space="preserve"> (New York: Alfred A. Knopf, 2014),</w:t>
      </w:r>
      <w:r>
        <w:t xml:space="preserve"> 90.</w:t>
      </w:r>
    </w:p>
  </w:footnote>
  <w:footnote w:id="88">
    <w:p w:rsidR="002F5AC7" w:rsidRDefault="002F5AC7" w:rsidP="00FA2313">
      <w:pPr>
        <w:pStyle w:val="FootnoteText"/>
      </w:pPr>
      <w:r>
        <w:rPr>
          <w:rStyle w:val="FootnoteReference"/>
        </w:rPr>
        <w:footnoteRef/>
      </w:r>
      <w:r>
        <w:t xml:space="preserve"> </w:t>
      </w:r>
      <w:r w:rsidRPr="00152775">
        <w:t xml:space="preserve">John M. Camp, </w:t>
      </w:r>
      <w:proofErr w:type="gramStart"/>
      <w:r w:rsidRPr="00242334">
        <w:rPr>
          <w:i/>
        </w:rPr>
        <w:t>The</w:t>
      </w:r>
      <w:proofErr w:type="gramEnd"/>
      <w:r w:rsidRPr="00242334">
        <w:rPr>
          <w:i/>
        </w:rPr>
        <w:t xml:space="preserve"> Archaeology of Athens</w:t>
      </w:r>
      <w:r w:rsidRPr="00152775">
        <w:t xml:space="preserve"> (New Haven: Yale UP, 2001),</w:t>
      </w:r>
      <w:r>
        <w:t xml:space="preserve"> 242.</w:t>
      </w:r>
    </w:p>
  </w:footnote>
  <w:footnote w:id="89">
    <w:p w:rsidR="002F5AC7" w:rsidRDefault="002F5AC7">
      <w:pPr>
        <w:pStyle w:val="FootnoteText"/>
      </w:pPr>
      <w:r>
        <w:rPr>
          <w:rStyle w:val="FootnoteReference"/>
        </w:rPr>
        <w:footnoteRef/>
      </w:r>
      <w:r>
        <w:t xml:space="preserve"> </w:t>
      </w:r>
      <w:proofErr w:type="gramStart"/>
      <w:r w:rsidRPr="00C302E3">
        <w:t>The Trustees of the British Museum.</w:t>
      </w:r>
      <w:proofErr w:type="gramEnd"/>
      <w:r w:rsidRPr="00C302E3">
        <w:t xml:space="preserve"> </w:t>
      </w:r>
      <w:proofErr w:type="gramStart"/>
      <w:r w:rsidRPr="00C302E3">
        <w:rPr>
          <w:i/>
        </w:rPr>
        <w:t>A Historical Guide to the Sculptures of the Parthenon</w:t>
      </w:r>
      <w:r w:rsidRPr="00C302E3">
        <w:t xml:space="preserve"> </w:t>
      </w:r>
      <w:r>
        <w:t>(</w:t>
      </w:r>
      <w:r w:rsidRPr="00C302E3">
        <w:t>London: Balding and Mansell,</w:t>
      </w:r>
      <w:r>
        <w:t xml:space="preserve"> 1971), 8.</w:t>
      </w:r>
      <w:proofErr w:type="gramEnd"/>
      <w:r>
        <w:t xml:space="preserve"> </w:t>
      </w:r>
      <w:r w:rsidRPr="00BA044A">
        <w:t xml:space="preserve">John M. Camp, </w:t>
      </w:r>
      <w:proofErr w:type="gramStart"/>
      <w:r w:rsidRPr="00BA044A">
        <w:rPr>
          <w:i/>
        </w:rPr>
        <w:t>The</w:t>
      </w:r>
      <w:proofErr w:type="gramEnd"/>
      <w:r w:rsidRPr="00BA044A">
        <w:rPr>
          <w:i/>
        </w:rPr>
        <w:t xml:space="preserve"> Archaeology of Athens</w:t>
      </w:r>
      <w:r w:rsidRPr="00BA044A">
        <w:t xml:space="preserve"> (New Haven: Yale UP, 2001), 242.</w:t>
      </w:r>
    </w:p>
  </w:footnote>
  <w:footnote w:id="90">
    <w:p w:rsidR="002F5AC7" w:rsidRDefault="002F5AC7">
      <w:pPr>
        <w:pStyle w:val="FootnoteText"/>
      </w:pPr>
      <w:r>
        <w:rPr>
          <w:rStyle w:val="FootnoteReference"/>
        </w:rPr>
        <w:footnoteRef/>
      </w:r>
      <w:r>
        <w:t xml:space="preserve"> </w:t>
      </w:r>
      <w:r w:rsidRPr="00152775">
        <w:t xml:space="preserve">John M. Camp, </w:t>
      </w:r>
      <w:proofErr w:type="gramStart"/>
      <w:r w:rsidRPr="00242334">
        <w:rPr>
          <w:i/>
        </w:rPr>
        <w:t>The</w:t>
      </w:r>
      <w:proofErr w:type="gramEnd"/>
      <w:r w:rsidRPr="00242334">
        <w:rPr>
          <w:i/>
        </w:rPr>
        <w:t xml:space="preserve"> Archaeology of Athens</w:t>
      </w:r>
      <w:r w:rsidRPr="00152775">
        <w:t xml:space="preserve"> (New Haven: Yale UP, 2001),</w:t>
      </w:r>
      <w:r>
        <w:t xml:space="preserve"> 243.</w:t>
      </w:r>
    </w:p>
  </w:footnote>
  <w:footnote w:id="91">
    <w:p w:rsidR="002F5AC7" w:rsidRDefault="002F5AC7">
      <w:pPr>
        <w:pStyle w:val="FootnoteText"/>
      </w:pPr>
      <w:r>
        <w:rPr>
          <w:rStyle w:val="FootnoteReference"/>
        </w:rPr>
        <w:footnoteRef/>
      </w:r>
      <w:r>
        <w:t xml:space="preserve"> </w:t>
      </w:r>
      <w:r w:rsidRPr="00783AAE">
        <w:t xml:space="preserve">Mary Beard, </w:t>
      </w:r>
      <w:proofErr w:type="gramStart"/>
      <w:r w:rsidRPr="00783AAE">
        <w:rPr>
          <w:i/>
        </w:rPr>
        <w:t>The</w:t>
      </w:r>
      <w:proofErr w:type="gramEnd"/>
      <w:r w:rsidRPr="00783AAE">
        <w:rPr>
          <w:i/>
        </w:rPr>
        <w:t xml:space="preserve"> Parthenon</w:t>
      </w:r>
      <w:r w:rsidRPr="00783AAE">
        <w:t xml:space="preserve"> (Cambridge: Harvard UP, 2002), </w:t>
      </w:r>
      <w:r>
        <w:t xml:space="preserve">99-100. </w:t>
      </w:r>
    </w:p>
  </w:footnote>
  <w:footnote w:id="92">
    <w:p w:rsidR="002F5AC7" w:rsidRDefault="002F5AC7">
      <w:pPr>
        <w:pStyle w:val="FootnoteText"/>
      </w:pPr>
      <w:r>
        <w:rPr>
          <w:rStyle w:val="FootnoteReference"/>
        </w:rPr>
        <w:footnoteRef/>
      </w:r>
      <w:r>
        <w:t xml:space="preserve"> </w:t>
      </w:r>
      <w:proofErr w:type="gramStart"/>
      <w:r>
        <w:t>Ibid.,</w:t>
      </w:r>
      <w:proofErr w:type="gramEnd"/>
      <w:r w:rsidRPr="00783AAE">
        <w:t xml:space="preserve"> </w:t>
      </w:r>
      <w:r>
        <w:t>102.</w:t>
      </w:r>
    </w:p>
  </w:footnote>
  <w:footnote w:id="93">
    <w:p w:rsidR="002F5AC7" w:rsidRDefault="002F5AC7" w:rsidP="00783AAE">
      <w:pPr>
        <w:pStyle w:val="FootnoteText"/>
        <w:tabs>
          <w:tab w:val="left" w:pos="1875"/>
        </w:tabs>
      </w:pPr>
      <w:r>
        <w:rPr>
          <w:rStyle w:val="FootnoteReference"/>
        </w:rPr>
        <w:footnoteRef/>
      </w:r>
      <w:r>
        <w:t xml:space="preserve"> </w:t>
      </w:r>
      <w:proofErr w:type="gramStart"/>
      <w:r>
        <w:t>Ibid.,</w:t>
      </w:r>
      <w:proofErr w:type="gramEnd"/>
      <w:r>
        <w:t xml:space="preserve"> 100. </w:t>
      </w:r>
    </w:p>
  </w:footnote>
  <w:footnote w:id="94">
    <w:p w:rsidR="002F5AC7" w:rsidRPr="00546D23" w:rsidRDefault="002F5AC7" w:rsidP="00546D23">
      <w:pPr>
        <w:pStyle w:val="FootnoteText"/>
      </w:pPr>
      <w:r>
        <w:rPr>
          <w:rStyle w:val="FootnoteReference"/>
        </w:rPr>
        <w:footnoteRef/>
      </w:r>
      <w:r>
        <w:t xml:space="preserve"> </w:t>
      </w:r>
      <w:r w:rsidRPr="00546D23">
        <w:t xml:space="preserve">John W. Thomas. </w:t>
      </w:r>
      <w:proofErr w:type="gramStart"/>
      <w:r w:rsidRPr="005E5800">
        <w:rPr>
          <w:i/>
        </w:rPr>
        <w:t xml:space="preserve">John W. Thomas to </w:t>
      </w:r>
      <w:r>
        <w:rPr>
          <w:i/>
        </w:rPr>
        <w:t>Hon. J. M. Head</w:t>
      </w:r>
      <w:r>
        <w:t>.</w:t>
      </w:r>
      <w:proofErr w:type="gramEnd"/>
      <w:r>
        <w:t xml:space="preserve"> November 4, 1987. </w:t>
      </w:r>
      <w:proofErr w:type="gramStart"/>
      <w:r w:rsidRPr="00546D23">
        <w:t>Letter.</w:t>
      </w:r>
      <w:proofErr w:type="gramEnd"/>
      <w:r w:rsidRPr="00546D23">
        <w:t xml:space="preserve"> </w:t>
      </w:r>
      <w:proofErr w:type="gramStart"/>
      <w:r w:rsidRPr="00546D23">
        <w:t xml:space="preserve">From Tennessee State Library and Archives, </w:t>
      </w:r>
      <w:r w:rsidRPr="005E5800">
        <w:rPr>
          <w:i/>
        </w:rPr>
        <w:t>Tennessee Centennial and International Exposition (1897) Collection 1895-1900</w:t>
      </w:r>
      <w:r w:rsidRPr="00546D23">
        <w:t>.</w:t>
      </w:r>
      <w:proofErr w:type="gramEnd"/>
    </w:p>
    <w:p w:rsidR="002F5AC7" w:rsidRDefault="002F5AC7" w:rsidP="007B57B0">
      <w:pPr>
        <w:pStyle w:val="FootnoteText"/>
      </w:pPr>
    </w:p>
  </w:footnote>
  <w:footnote w:id="95">
    <w:p w:rsidR="002F5AC7" w:rsidRDefault="002F5AC7" w:rsidP="007B57B0">
      <w:pPr>
        <w:pStyle w:val="FootnoteText"/>
      </w:pPr>
      <w:r>
        <w:rPr>
          <w:rStyle w:val="FootnoteReference"/>
        </w:rPr>
        <w:footnoteRef/>
      </w:r>
      <w:r>
        <w:t xml:space="preserve"> </w:t>
      </w:r>
      <w:r w:rsidRPr="002A45E3">
        <w:t xml:space="preserve">E. C. Lewis. </w:t>
      </w:r>
      <w:proofErr w:type="gramStart"/>
      <w:r w:rsidRPr="002A45E3">
        <w:t>E. C. Lewis to Maj. John W. Thomas, President.</w:t>
      </w:r>
      <w:proofErr w:type="gramEnd"/>
      <w:r w:rsidRPr="002A45E3">
        <w:t xml:space="preserve"> October 13, 1898. </w:t>
      </w:r>
      <w:proofErr w:type="gramStart"/>
      <w:r w:rsidRPr="002A45E3">
        <w:t>Letter.</w:t>
      </w:r>
      <w:proofErr w:type="gramEnd"/>
      <w:r w:rsidRPr="002A45E3">
        <w:t xml:space="preserve"> </w:t>
      </w:r>
      <w:proofErr w:type="gramStart"/>
      <w:r w:rsidRPr="002A45E3">
        <w:t>From Tennessee State Library and Archives, Tennessee Centennial and International Exposition (1897) Collection 1895-1900.</w:t>
      </w:r>
      <w:proofErr w:type="gramEnd"/>
    </w:p>
  </w:footnote>
  <w:footnote w:id="96">
    <w:p w:rsidR="002F5AC7" w:rsidRDefault="002F5AC7" w:rsidP="007B57B0">
      <w:pPr>
        <w:pStyle w:val="FootnoteText"/>
      </w:pPr>
      <w:r>
        <w:rPr>
          <w:rStyle w:val="FootnoteReference"/>
        </w:rPr>
        <w:footnoteRef/>
      </w:r>
      <w:r w:rsidRPr="002D426D">
        <w:t xml:space="preserve">Herman </w:t>
      </w:r>
      <w:proofErr w:type="spellStart"/>
      <w:r w:rsidRPr="002D426D">
        <w:t>Justi</w:t>
      </w:r>
      <w:proofErr w:type="spellEnd"/>
      <w:r w:rsidRPr="002D426D">
        <w:t xml:space="preserve">, ed., </w:t>
      </w:r>
      <w:proofErr w:type="gramStart"/>
      <w:r w:rsidRPr="005C02F4">
        <w:rPr>
          <w:i/>
        </w:rPr>
        <w:t>The</w:t>
      </w:r>
      <w:proofErr w:type="gramEnd"/>
      <w:r w:rsidRPr="005C02F4">
        <w:rPr>
          <w:i/>
        </w:rPr>
        <w:t xml:space="preserve"> Official History of the Tennessee Centennial Exposition</w:t>
      </w:r>
      <w:r w:rsidRPr="002D426D">
        <w:t xml:space="preserve"> (Nashville: Brandon Printing, 1898), </w:t>
      </w:r>
      <w:r>
        <w:t>22.</w:t>
      </w:r>
    </w:p>
  </w:footnote>
  <w:footnote w:id="97">
    <w:p w:rsidR="002F5AC7" w:rsidRDefault="002F5AC7" w:rsidP="007B57B0">
      <w:pPr>
        <w:pStyle w:val="FootnoteText"/>
      </w:pPr>
      <w:r>
        <w:rPr>
          <w:rStyle w:val="FootnoteReference"/>
        </w:rPr>
        <w:footnoteRef/>
      </w:r>
      <w:r>
        <w:t xml:space="preserve"> Leland R. Johnson, </w:t>
      </w:r>
      <w:proofErr w:type="gramStart"/>
      <w:r>
        <w:rPr>
          <w:i/>
        </w:rPr>
        <w:t>The</w:t>
      </w:r>
      <w:proofErr w:type="gramEnd"/>
      <w:r>
        <w:rPr>
          <w:i/>
        </w:rPr>
        <w:t xml:space="preserve"> Parks of Nashville: A History of the Board of Parks and </w:t>
      </w:r>
      <w:r w:rsidRPr="00B75065">
        <w:rPr>
          <w:i/>
        </w:rPr>
        <w:t>Recreation</w:t>
      </w:r>
      <w:r>
        <w:t xml:space="preserve"> (Nashville: Metropolitan Nashville and Davidson County Board of Parks and Recreation, 1986), </w:t>
      </w:r>
      <w:r w:rsidRPr="00B75065">
        <w:t>33</w:t>
      </w:r>
      <w:r>
        <w:t>.</w:t>
      </w:r>
    </w:p>
  </w:footnote>
  <w:footnote w:id="98">
    <w:p w:rsidR="002F5AC7" w:rsidRDefault="002F5AC7" w:rsidP="007B57B0">
      <w:pPr>
        <w:pStyle w:val="FootnoteText"/>
      </w:pPr>
      <w:r>
        <w:rPr>
          <w:rStyle w:val="FootnoteReference"/>
        </w:rPr>
        <w:footnoteRef/>
      </w:r>
      <w:r>
        <w:t xml:space="preserve"> </w:t>
      </w:r>
      <w:proofErr w:type="gramStart"/>
      <w:r>
        <w:t>Ibid.,</w:t>
      </w:r>
      <w:proofErr w:type="gramEnd"/>
      <w:r>
        <w:t xml:space="preserve"> 39.</w:t>
      </w:r>
    </w:p>
  </w:footnote>
  <w:footnote w:id="99">
    <w:p w:rsidR="002F5AC7" w:rsidRDefault="002F5AC7" w:rsidP="007B57B0">
      <w:pPr>
        <w:pStyle w:val="FootnoteText"/>
      </w:pPr>
      <w:r>
        <w:rPr>
          <w:rStyle w:val="FootnoteReference"/>
        </w:rPr>
        <w:footnoteRef/>
      </w:r>
      <w:r>
        <w:t xml:space="preserve"> </w:t>
      </w:r>
      <w:proofErr w:type="gramStart"/>
      <w:r>
        <w:t>Ibid.,</w:t>
      </w:r>
      <w:proofErr w:type="gramEnd"/>
      <w:r>
        <w:t xml:space="preserve"> 37.</w:t>
      </w:r>
    </w:p>
  </w:footnote>
  <w:footnote w:id="100">
    <w:p w:rsidR="002F5AC7" w:rsidRDefault="002F5AC7" w:rsidP="002F6537">
      <w:pPr>
        <w:pStyle w:val="FootnoteText"/>
      </w:pPr>
      <w:r>
        <w:rPr>
          <w:rStyle w:val="FootnoteReference"/>
        </w:rPr>
        <w:footnoteRef/>
      </w:r>
      <w:r>
        <w:t xml:space="preserve"> </w:t>
      </w:r>
      <w:proofErr w:type="gramStart"/>
      <w:r>
        <w:t>Ibid.,</w:t>
      </w:r>
      <w:proofErr w:type="gramEnd"/>
      <w:r>
        <w:t xml:space="preserve"> 37.</w:t>
      </w:r>
    </w:p>
  </w:footnote>
  <w:footnote w:id="101">
    <w:p w:rsidR="002F5AC7" w:rsidRDefault="002F5AC7" w:rsidP="002F6537">
      <w:pPr>
        <w:pStyle w:val="FootnoteText"/>
      </w:pPr>
      <w:r>
        <w:rPr>
          <w:rStyle w:val="FootnoteReference"/>
        </w:rPr>
        <w:footnoteRef/>
      </w:r>
      <w:r>
        <w:t xml:space="preserve"> </w:t>
      </w:r>
      <w:proofErr w:type="gramStart"/>
      <w:r>
        <w:t>Ibid.,</w:t>
      </w:r>
      <w:proofErr w:type="gramEnd"/>
      <w:r>
        <w:t xml:space="preserve"> 37.</w:t>
      </w:r>
    </w:p>
  </w:footnote>
  <w:footnote w:id="102">
    <w:p w:rsidR="002F5AC7" w:rsidRDefault="002F5AC7" w:rsidP="007B57B0">
      <w:pPr>
        <w:pStyle w:val="FootnoteText"/>
      </w:pPr>
      <w:r>
        <w:rPr>
          <w:rStyle w:val="FootnoteReference"/>
        </w:rPr>
        <w:footnoteRef/>
      </w:r>
      <w:r>
        <w:t xml:space="preserve"> </w:t>
      </w:r>
      <w:proofErr w:type="gramStart"/>
      <w:r>
        <w:t>Ibid.,</w:t>
      </w:r>
      <w:proofErr w:type="gramEnd"/>
      <w:r>
        <w:t xml:space="preserve"> 43.</w:t>
      </w:r>
    </w:p>
  </w:footnote>
  <w:footnote w:id="103">
    <w:p w:rsidR="002F5AC7" w:rsidRDefault="002F5AC7" w:rsidP="007B57B0">
      <w:pPr>
        <w:pStyle w:val="FootnoteText"/>
      </w:pPr>
      <w:r>
        <w:rPr>
          <w:rStyle w:val="FootnoteReference"/>
        </w:rPr>
        <w:footnoteRef/>
      </w:r>
      <w:r>
        <w:t xml:space="preserve"> </w:t>
      </w:r>
      <w:proofErr w:type="gramStart"/>
      <w:r>
        <w:t>Ibid.,</w:t>
      </w:r>
      <w:proofErr w:type="gramEnd"/>
      <w:r>
        <w:t xml:space="preserve"> 44.</w:t>
      </w:r>
    </w:p>
  </w:footnote>
  <w:footnote w:id="104">
    <w:p w:rsidR="002F5AC7" w:rsidRDefault="002F5AC7" w:rsidP="007B57B0">
      <w:pPr>
        <w:pStyle w:val="FootnoteText"/>
      </w:pPr>
      <w:r>
        <w:rPr>
          <w:rStyle w:val="FootnoteReference"/>
        </w:rPr>
        <w:footnoteRef/>
      </w:r>
      <w:r>
        <w:t xml:space="preserve"> </w:t>
      </w:r>
      <w:proofErr w:type="gramStart"/>
      <w:r>
        <w:t>Ibid.,</w:t>
      </w:r>
      <w:proofErr w:type="gramEnd"/>
      <w:r>
        <w:t xml:space="preserve"> 45.</w:t>
      </w:r>
    </w:p>
  </w:footnote>
  <w:footnote w:id="105">
    <w:p w:rsidR="002F5AC7" w:rsidRDefault="002F5AC7" w:rsidP="007B57B0">
      <w:pPr>
        <w:pStyle w:val="FootnoteText"/>
      </w:pPr>
      <w:r>
        <w:rPr>
          <w:rStyle w:val="FootnoteReference"/>
        </w:rPr>
        <w:footnoteRef/>
      </w:r>
      <w:r>
        <w:t xml:space="preserve">Park Board, </w:t>
      </w:r>
      <w:r w:rsidRPr="005A38A6">
        <w:rPr>
          <w:i/>
        </w:rPr>
        <w:t>Park Board Meeting Minutes April 16, 1901</w:t>
      </w:r>
      <w:r>
        <w:t xml:space="preserve">, (Minutes. </w:t>
      </w:r>
      <w:proofErr w:type="gramStart"/>
      <w:r>
        <w:t>Nashville: 1901.), 1. Park Board Minutes from Metro Archive.</w:t>
      </w:r>
      <w:proofErr w:type="gramEnd"/>
    </w:p>
  </w:footnote>
  <w:footnote w:id="106">
    <w:p w:rsidR="002F5AC7" w:rsidRDefault="002F5AC7" w:rsidP="007C607D">
      <w:pPr>
        <w:pStyle w:val="FootnoteText"/>
      </w:pPr>
      <w:r>
        <w:rPr>
          <w:rStyle w:val="FootnoteReference"/>
        </w:rPr>
        <w:footnoteRef/>
      </w:r>
      <w:r>
        <w:t xml:space="preserve"> </w:t>
      </w:r>
      <w:r w:rsidRPr="00B75065">
        <w:t xml:space="preserve">Leland R. Johnson, </w:t>
      </w:r>
      <w:proofErr w:type="gramStart"/>
      <w:r w:rsidRPr="009538A1">
        <w:rPr>
          <w:i/>
        </w:rPr>
        <w:t>The</w:t>
      </w:r>
      <w:proofErr w:type="gramEnd"/>
      <w:r w:rsidRPr="009538A1">
        <w:rPr>
          <w:i/>
        </w:rPr>
        <w:t xml:space="preserve"> Parks of Nashville: A History of the Board of Parks and Recreation</w:t>
      </w:r>
      <w:r w:rsidRPr="00B75065">
        <w:t xml:space="preserve"> (Nashville: Metropolitan Nashville and Davidson County Board of Parks and Recreation, 1986), </w:t>
      </w:r>
      <w:r>
        <w:t>45.</w:t>
      </w:r>
    </w:p>
  </w:footnote>
  <w:footnote w:id="107">
    <w:p w:rsidR="002F5AC7" w:rsidRDefault="002F5AC7" w:rsidP="0052047B">
      <w:pPr>
        <w:pStyle w:val="FootnoteText"/>
      </w:pPr>
      <w:r>
        <w:rPr>
          <w:rStyle w:val="FootnoteReference"/>
        </w:rPr>
        <w:footnoteRef/>
      </w:r>
      <w:r>
        <w:t xml:space="preserve"> Park Board, </w:t>
      </w:r>
      <w:r w:rsidRPr="005A38A6">
        <w:rPr>
          <w:i/>
        </w:rPr>
        <w:t>Park Board Meeting Minutes April 16, 1901</w:t>
      </w:r>
      <w:r>
        <w:t xml:space="preserve">, (Minutes. </w:t>
      </w:r>
      <w:proofErr w:type="gramStart"/>
      <w:r>
        <w:t>Nashville: 1901.), 2. Park Board Minutes from Metro Archive.</w:t>
      </w:r>
      <w:proofErr w:type="gramEnd"/>
    </w:p>
    <w:p w:rsidR="002F5AC7" w:rsidRDefault="002F5AC7" w:rsidP="007B57B0">
      <w:pPr>
        <w:pStyle w:val="FootnoteText"/>
      </w:pPr>
    </w:p>
  </w:footnote>
  <w:footnote w:id="108">
    <w:p w:rsidR="002F5AC7" w:rsidRDefault="002F5AC7" w:rsidP="007B57B0">
      <w:pPr>
        <w:pStyle w:val="FootnoteText"/>
      </w:pPr>
      <w:r>
        <w:rPr>
          <w:rStyle w:val="FootnoteReference"/>
        </w:rPr>
        <w:footnoteRef/>
      </w:r>
      <w:r>
        <w:t xml:space="preserve"> </w:t>
      </w:r>
      <w:r w:rsidRPr="00B75065">
        <w:t xml:space="preserve">Leland R. Johnson, </w:t>
      </w:r>
      <w:proofErr w:type="gramStart"/>
      <w:r w:rsidRPr="009538A1">
        <w:rPr>
          <w:i/>
        </w:rPr>
        <w:t>The</w:t>
      </w:r>
      <w:proofErr w:type="gramEnd"/>
      <w:r w:rsidRPr="009538A1">
        <w:rPr>
          <w:i/>
        </w:rPr>
        <w:t xml:space="preserve"> Parks of Nashville: A History of the Board of Parks and Recreation</w:t>
      </w:r>
      <w:r w:rsidRPr="00B75065">
        <w:t xml:space="preserve"> (Nashville: Metropolitan Nashville and Davidson County Board of Parks and Recreation, 1986), </w:t>
      </w:r>
      <w:r>
        <w:t>47.</w:t>
      </w:r>
    </w:p>
  </w:footnote>
  <w:footnote w:id="109">
    <w:p w:rsidR="002F5AC7" w:rsidRDefault="002F5AC7" w:rsidP="007B57B0">
      <w:pPr>
        <w:pStyle w:val="FootnoteText"/>
      </w:pPr>
      <w:r>
        <w:rPr>
          <w:rStyle w:val="FootnoteReference"/>
        </w:rPr>
        <w:footnoteRef/>
      </w:r>
      <w:r>
        <w:t xml:space="preserve"> </w:t>
      </w:r>
      <w:proofErr w:type="gramStart"/>
      <w:r>
        <w:t>Ibid.,</w:t>
      </w:r>
      <w:proofErr w:type="gramEnd"/>
      <w:r>
        <w:t xml:space="preserve"> 40.</w:t>
      </w:r>
    </w:p>
  </w:footnote>
  <w:footnote w:id="110">
    <w:p w:rsidR="002F5AC7" w:rsidRDefault="002F5AC7" w:rsidP="007B57B0">
      <w:pPr>
        <w:pStyle w:val="FootnoteText"/>
      </w:pPr>
      <w:r>
        <w:rPr>
          <w:rStyle w:val="FootnoteReference"/>
        </w:rPr>
        <w:footnoteRef/>
      </w:r>
      <w:r>
        <w:t xml:space="preserve"> </w:t>
      </w:r>
      <w:proofErr w:type="gramStart"/>
      <w:r>
        <w:t>Ibid.,</w:t>
      </w:r>
      <w:proofErr w:type="gramEnd"/>
      <w:r>
        <w:t xml:space="preserve"> 48.</w:t>
      </w:r>
    </w:p>
  </w:footnote>
  <w:footnote w:id="111">
    <w:p w:rsidR="002F5AC7" w:rsidRDefault="002F5AC7" w:rsidP="007B57B0">
      <w:pPr>
        <w:pStyle w:val="FootnoteText"/>
      </w:pPr>
      <w:r>
        <w:rPr>
          <w:rStyle w:val="FootnoteReference"/>
        </w:rPr>
        <w:footnoteRef/>
      </w:r>
      <w:r>
        <w:t xml:space="preserve"> </w:t>
      </w:r>
      <w:proofErr w:type="gramStart"/>
      <w:r>
        <w:t>Ibid.,</w:t>
      </w:r>
      <w:proofErr w:type="gramEnd"/>
      <w:r>
        <w:t xml:space="preserve"> 48.</w:t>
      </w:r>
    </w:p>
  </w:footnote>
  <w:footnote w:id="112">
    <w:p w:rsidR="002F5AC7" w:rsidRDefault="002F5AC7" w:rsidP="007B57B0">
      <w:pPr>
        <w:pStyle w:val="FootnoteText"/>
      </w:pPr>
      <w:r>
        <w:rPr>
          <w:rStyle w:val="FootnoteReference"/>
        </w:rPr>
        <w:footnoteRef/>
      </w:r>
      <w:r>
        <w:t xml:space="preserve"> </w:t>
      </w:r>
      <w:r w:rsidRPr="00E11D0D">
        <w:t xml:space="preserve">Park Board, </w:t>
      </w:r>
      <w:r w:rsidRPr="00E11D0D">
        <w:rPr>
          <w:i/>
        </w:rPr>
        <w:t xml:space="preserve">Park Board Meeting Minutes </w:t>
      </w:r>
      <w:r>
        <w:rPr>
          <w:i/>
        </w:rPr>
        <w:t>January 28, 1902</w:t>
      </w:r>
      <w:r>
        <w:t xml:space="preserve">, (Minutes. </w:t>
      </w:r>
      <w:proofErr w:type="gramStart"/>
      <w:r>
        <w:t>Nashville: 1902.), 7</w:t>
      </w:r>
      <w:r w:rsidRPr="00E11D0D">
        <w:t>. Park Board Minutes from Metro Archive.</w:t>
      </w:r>
      <w:proofErr w:type="gramEnd"/>
    </w:p>
  </w:footnote>
  <w:footnote w:id="113">
    <w:p w:rsidR="002F5AC7" w:rsidRDefault="002F5AC7" w:rsidP="007B57B0">
      <w:pPr>
        <w:pStyle w:val="FootnoteText"/>
      </w:pPr>
      <w:r>
        <w:rPr>
          <w:rStyle w:val="FootnoteReference"/>
        </w:rPr>
        <w:footnoteRef/>
      </w:r>
      <w:r>
        <w:t xml:space="preserve"> </w:t>
      </w:r>
      <w:r w:rsidRPr="00B75065">
        <w:t xml:space="preserve">Leland R. Johnson, </w:t>
      </w:r>
      <w:proofErr w:type="gramStart"/>
      <w:r w:rsidRPr="009538A1">
        <w:rPr>
          <w:i/>
        </w:rPr>
        <w:t>The</w:t>
      </w:r>
      <w:proofErr w:type="gramEnd"/>
      <w:r w:rsidRPr="009538A1">
        <w:rPr>
          <w:i/>
        </w:rPr>
        <w:t xml:space="preserve"> Parks of Nashville: A History of the Board of Parks and Recreation</w:t>
      </w:r>
      <w:r w:rsidRPr="00B75065">
        <w:t xml:space="preserve"> (Nashville: Metropolitan Nashville and Davidson County Board of Parks and Recreation, 1986), </w:t>
      </w:r>
      <w:r>
        <w:t>48.</w:t>
      </w:r>
    </w:p>
  </w:footnote>
  <w:footnote w:id="114">
    <w:p w:rsidR="002F5AC7" w:rsidRDefault="002F5AC7" w:rsidP="007B57B0">
      <w:pPr>
        <w:pStyle w:val="FootnoteText"/>
      </w:pPr>
      <w:r>
        <w:rPr>
          <w:rStyle w:val="FootnoteReference"/>
        </w:rPr>
        <w:footnoteRef/>
      </w:r>
      <w:r>
        <w:t xml:space="preserve"> </w:t>
      </w:r>
      <w:proofErr w:type="gramStart"/>
      <w:r>
        <w:t>Ibid.,</w:t>
      </w:r>
      <w:proofErr w:type="gramEnd"/>
      <w:r>
        <w:t xml:space="preserve"> 50.</w:t>
      </w:r>
    </w:p>
  </w:footnote>
  <w:footnote w:id="115">
    <w:p w:rsidR="002F5AC7" w:rsidRDefault="002F5AC7" w:rsidP="007B57B0">
      <w:pPr>
        <w:pStyle w:val="FootnoteText"/>
      </w:pPr>
      <w:r>
        <w:rPr>
          <w:rStyle w:val="FootnoteReference"/>
        </w:rPr>
        <w:footnoteRef/>
      </w:r>
      <w:r>
        <w:t xml:space="preserve"> </w:t>
      </w:r>
      <w:proofErr w:type="gramStart"/>
      <w:r>
        <w:t>Ibid.,</w:t>
      </w:r>
      <w:proofErr w:type="gramEnd"/>
      <w:r>
        <w:t xml:space="preserve"> 50.</w:t>
      </w:r>
    </w:p>
  </w:footnote>
  <w:footnote w:id="116">
    <w:p w:rsidR="002F5AC7" w:rsidRDefault="002F5AC7" w:rsidP="007B57B0">
      <w:pPr>
        <w:pStyle w:val="FootnoteText"/>
      </w:pPr>
      <w:r>
        <w:rPr>
          <w:rStyle w:val="FootnoteReference"/>
        </w:rPr>
        <w:footnoteRef/>
      </w:r>
      <w:r>
        <w:t xml:space="preserve"> </w:t>
      </w:r>
      <w:r w:rsidRPr="00FC75F3">
        <w:t xml:space="preserve">Park Board, </w:t>
      </w:r>
      <w:r w:rsidRPr="00FC75F3">
        <w:rPr>
          <w:i/>
        </w:rPr>
        <w:t>Park Board Meeting Minutes December 30, 1902</w:t>
      </w:r>
      <w:r>
        <w:t>, (Minutes. Nashville: 1902.), 19-23</w:t>
      </w:r>
      <w:r w:rsidRPr="00FC75F3">
        <w:t xml:space="preserve">. </w:t>
      </w:r>
      <w:proofErr w:type="gramStart"/>
      <w:r w:rsidRPr="00FC75F3">
        <w:t>Park Board Minutes from Metro Archive.</w:t>
      </w:r>
      <w:proofErr w:type="gramEnd"/>
    </w:p>
  </w:footnote>
  <w:footnote w:id="117">
    <w:p w:rsidR="002F5AC7" w:rsidRDefault="002F5AC7" w:rsidP="007B57B0">
      <w:pPr>
        <w:pStyle w:val="FootnoteText"/>
      </w:pPr>
      <w:r>
        <w:rPr>
          <w:rStyle w:val="FootnoteReference"/>
        </w:rPr>
        <w:footnoteRef/>
      </w:r>
      <w:r>
        <w:t xml:space="preserve"> </w:t>
      </w:r>
      <w:r w:rsidRPr="00B75065">
        <w:t xml:space="preserve">Leland R. Johnson, </w:t>
      </w:r>
      <w:proofErr w:type="gramStart"/>
      <w:r w:rsidRPr="009538A1">
        <w:rPr>
          <w:i/>
        </w:rPr>
        <w:t>The</w:t>
      </w:r>
      <w:proofErr w:type="gramEnd"/>
      <w:r w:rsidRPr="009538A1">
        <w:rPr>
          <w:i/>
        </w:rPr>
        <w:t xml:space="preserve"> Parks of Nashville: A History of the Board of Parks and Recreation</w:t>
      </w:r>
      <w:r w:rsidRPr="00B75065">
        <w:t xml:space="preserve"> (Nashville: Metropolitan Nashville and Davidson County Board of Parks and Recreation, 1986), </w:t>
      </w:r>
      <w:r>
        <w:t>52.</w:t>
      </w:r>
    </w:p>
  </w:footnote>
  <w:footnote w:id="118">
    <w:p w:rsidR="002F5AC7" w:rsidRDefault="002F5AC7" w:rsidP="007B57B0">
      <w:pPr>
        <w:pStyle w:val="FootnoteText"/>
      </w:pPr>
      <w:r>
        <w:rPr>
          <w:rStyle w:val="FootnoteReference"/>
        </w:rPr>
        <w:footnoteRef/>
      </w:r>
      <w:r>
        <w:t xml:space="preserve"> </w:t>
      </w:r>
      <w:proofErr w:type="gramStart"/>
      <w:r>
        <w:t>Ibid.,</w:t>
      </w:r>
      <w:proofErr w:type="gramEnd"/>
      <w:r>
        <w:t xml:space="preserve"> 52.</w:t>
      </w:r>
    </w:p>
  </w:footnote>
  <w:footnote w:id="119">
    <w:p w:rsidR="002F5AC7" w:rsidRDefault="002F5AC7" w:rsidP="007B57B0">
      <w:pPr>
        <w:pStyle w:val="FootnoteText"/>
      </w:pPr>
      <w:r>
        <w:rPr>
          <w:rStyle w:val="FootnoteReference"/>
        </w:rPr>
        <w:footnoteRef/>
      </w:r>
      <w:r>
        <w:t xml:space="preserve"> </w:t>
      </w:r>
      <w:proofErr w:type="gramStart"/>
      <w:r>
        <w:t>Ibid.,</w:t>
      </w:r>
      <w:proofErr w:type="gramEnd"/>
      <w:r>
        <w:t xml:space="preserve"> 56.</w:t>
      </w:r>
    </w:p>
  </w:footnote>
  <w:footnote w:id="120">
    <w:p w:rsidR="002F5AC7" w:rsidRDefault="002F5AC7" w:rsidP="007B57B0">
      <w:pPr>
        <w:pStyle w:val="FootnoteText"/>
      </w:pPr>
      <w:r>
        <w:rPr>
          <w:rStyle w:val="FootnoteReference"/>
        </w:rPr>
        <w:footnoteRef/>
      </w:r>
      <w:r>
        <w:t xml:space="preserve"> </w:t>
      </w:r>
      <w:proofErr w:type="gramStart"/>
      <w:r>
        <w:t>Ibid.,</w:t>
      </w:r>
      <w:proofErr w:type="gramEnd"/>
      <w:r>
        <w:t xml:space="preserve"> 61.</w:t>
      </w:r>
    </w:p>
  </w:footnote>
  <w:footnote w:id="121">
    <w:p w:rsidR="002F5AC7" w:rsidRDefault="002F5AC7" w:rsidP="007B57B0">
      <w:pPr>
        <w:pStyle w:val="FootnoteText"/>
      </w:pPr>
      <w:r>
        <w:rPr>
          <w:rStyle w:val="FootnoteReference"/>
        </w:rPr>
        <w:footnoteRef/>
      </w:r>
      <w:r>
        <w:t xml:space="preserve"> </w:t>
      </w:r>
      <w:proofErr w:type="gramStart"/>
      <w:r>
        <w:t>Ibid.,</w:t>
      </w:r>
      <w:proofErr w:type="gramEnd"/>
      <w:r>
        <w:t xml:space="preserve"> 61.</w:t>
      </w:r>
    </w:p>
  </w:footnote>
  <w:footnote w:id="122">
    <w:p w:rsidR="002F5AC7" w:rsidRDefault="002F5AC7" w:rsidP="007B57B0">
      <w:pPr>
        <w:pStyle w:val="FootnoteText"/>
      </w:pPr>
      <w:r>
        <w:rPr>
          <w:rStyle w:val="FootnoteReference"/>
        </w:rPr>
        <w:footnoteRef/>
      </w:r>
      <w:r>
        <w:t xml:space="preserve"> Ibid., 66</w:t>
      </w:r>
    </w:p>
  </w:footnote>
  <w:footnote w:id="123">
    <w:p w:rsidR="002F5AC7" w:rsidRDefault="002F5AC7" w:rsidP="007B57B0">
      <w:pPr>
        <w:pStyle w:val="FootnoteText"/>
      </w:pPr>
      <w:r>
        <w:rPr>
          <w:rStyle w:val="FootnoteReference"/>
        </w:rPr>
        <w:footnoteRef/>
      </w:r>
      <w:r>
        <w:t xml:space="preserve"> </w:t>
      </w:r>
      <w:proofErr w:type="gramStart"/>
      <w:r>
        <w:t>Ibid.,</w:t>
      </w:r>
      <w:proofErr w:type="gramEnd"/>
      <w:r>
        <w:t xml:space="preserve"> 289.</w:t>
      </w:r>
    </w:p>
  </w:footnote>
  <w:footnote w:id="124">
    <w:p w:rsidR="002F5AC7" w:rsidRDefault="002F5AC7" w:rsidP="004E0BFC">
      <w:pPr>
        <w:pStyle w:val="FootnoteText"/>
      </w:pPr>
      <w:r>
        <w:rPr>
          <w:rStyle w:val="FootnoteReference"/>
        </w:rPr>
        <w:footnoteRef/>
      </w:r>
      <w:r>
        <w:t xml:space="preserve"> Wilbur Foster Creighton, </w:t>
      </w:r>
      <w:proofErr w:type="gramStart"/>
      <w:r w:rsidRPr="00444AE5">
        <w:rPr>
          <w:i/>
        </w:rPr>
        <w:t>The</w:t>
      </w:r>
      <w:proofErr w:type="gramEnd"/>
      <w:r w:rsidRPr="00444AE5">
        <w:rPr>
          <w:i/>
        </w:rPr>
        <w:t xml:space="preserve"> Parthenon in Nashville</w:t>
      </w:r>
      <w:r>
        <w:t xml:space="preserve"> (Nashville: Wilbur Foster Creighton, 1968), 26.</w:t>
      </w:r>
    </w:p>
  </w:footnote>
  <w:footnote w:id="125">
    <w:p w:rsidR="002F5AC7" w:rsidRDefault="002F5AC7" w:rsidP="007B57B0">
      <w:pPr>
        <w:pStyle w:val="FootnoteText"/>
      </w:pPr>
      <w:r>
        <w:rPr>
          <w:rStyle w:val="FootnoteReference"/>
        </w:rPr>
        <w:footnoteRef/>
      </w:r>
      <w:r>
        <w:t xml:space="preserve"> </w:t>
      </w:r>
      <w:proofErr w:type="gramStart"/>
      <w:r w:rsidRPr="00444AE5">
        <w:t xml:space="preserve">Wilbur Foster Creighton, </w:t>
      </w:r>
      <w:r w:rsidRPr="00444AE5">
        <w:rPr>
          <w:i/>
        </w:rPr>
        <w:t>Building of Nashville</w:t>
      </w:r>
      <w:r w:rsidRPr="00444AE5">
        <w:t xml:space="preserve"> (Nashville: Wilbur Foster Creighton, 1969), </w:t>
      </w:r>
      <w:r>
        <w:t>146.</w:t>
      </w:r>
      <w:proofErr w:type="gramEnd"/>
    </w:p>
  </w:footnote>
  <w:footnote w:id="126">
    <w:p w:rsidR="002F5AC7" w:rsidRDefault="002F5AC7" w:rsidP="007B57B0">
      <w:pPr>
        <w:pStyle w:val="FootnoteText"/>
      </w:pPr>
      <w:r>
        <w:rPr>
          <w:rStyle w:val="FootnoteReference"/>
        </w:rPr>
        <w:footnoteRef/>
      </w:r>
      <w:r>
        <w:t xml:space="preserve"> </w:t>
      </w:r>
      <w:r w:rsidRPr="00D50C75">
        <w:t xml:space="preserve">Leland R. Johnson, </w:t>
      </w:r>
      <w:proofErr w:type="gramStart"/>
      <w:r w:rsidRPr="009538A1">
        <w:rPr>
          <w:i/>
        </w:rPr>
        <w:t>The</w:t>
      </w:r>
      <w:proofErr w:type="gramEnd"/>
      <w:r w:rsidRPr="009538A1">
        <w:rPr>
          <w:i/>
        </w:rPr>
        <w:t xml:space="preserve"> Parks of Nashville: A History of the Board of Parks and Recreation</w:t>
      </w:r>
      <w:r w:rsidRPr="00D50C75">
        <w:t xml:space="preserve"> (Nashville: Metropolitan Nashville and Davidson County Board of Parks and Recreation, 1986), </w:t>
      </w:r>
      <w:r>
        <w:t>91.</w:t>
      </w:r>
    </w:p>
  </w:footnote>
  <w:footnote w:id="127">
    <w:p w:rsidR="002F5AC7" w:rsidRDefault="002F5AC7" w:rsidP="007B57B0">
      <w:pPr>
        <w:pStyle w:val="FootnoteText"/>
      </w:pPr>
      <w:r>
        <w:rPr>
          <w:rStyle w:val="FootnoteReference"/>
        </w:rPr>
        <w:footnoteRef/>
      </w:r>
      <w:r>
        <w:t xml:space="preserve"> </w:t>
      </w:r>
      <w:r w:rsidRPr="00DD07F3">
        <w:t xml:space="preserve">Christine </w:t>
      </w:r>
      <w:r>
        <w:t>Kreyling</w:t>
      </w:r>
      <w:r w:rsidRPr="00DD07F3">
        <w:t>, Wesley Paine, Charles W. Waterfield</w:t>
      </w:r>
      <w:r>
        <w:t>, Jr., and Susan Ford Wiltshire,</w:t>
      </w:r>
      <w:r w:rsidRPr="00DD07F3">
        <w:t xml:space="preserve"> </w:t>
      </w:r>
      <w:r w:rsidRPr="00531943">
        <w:rPr>
          <w:i/>
        </w:rPr>
        <w:t>Classical Nashville: Athens of the South</w:t>
      </w:r>
      <w:r w:rsidRPr="00DD07F3">
        <w:t xml:space="preserve"> </w:t>
      </w:r>
      <w:r>
        <w:t>(</w:t>
      </w:r>
      <w:r w:rsidRPr="00DD07F3">
        <w:t>Nashville: Vanderbilt UP, 1996</w:t>
      </w:r>
      <w:r>
        <w:t>), 127.</w:t>
      </w:r>
    </w:p>
  </w:footnote>
  <w:footnote w:id="128">
    <w:p w:rsidR="002F5AC7" w:rsidRDefault="002F5AC7" w:rsidP="007B57B0">
      <w:pPr>
        <w:pStyle w:val="FootnoteText"/>
      </w:pPr>
      <w:r>
        <w:rPr>
          <w:rStyle w:val="FootnoteReference"/>
        </w:rPr>
        <w:footnoteRef/>
      </w:r>
      <w:r>
        <w:t xml:space="preserve"> </w:t>
      </w:r>
      <w:r w:rsidRPr="00D50C75">
        <w:t xml:space="preserve">Leland R. Johnson, </w:t>
      </w:r>
      <w:proofErr w:type="gramStart"/>
      <w:r w:rsidRPr="009538A1">
        <w:rPr>
          <w:i/>
        </w:rPr>
        <w:t>The</w:t>
      </w:r>
      <w:proofErr w:type="gramEnd"/>
      <w:r w:rsidRPr="009538A1">
        <w:rPr>
          <w:i/>
        </w:rPr>
        <w:t xml:space="preserve"> Parks of Nashville: A History of the Board of Parks and Recreation</w:t>
      </w:r>
      <w:r w:rsidRPr="00D50C75">
        <w:t xml:space="preserve"> (Nashville: Metropolitan Nashville and Davidson County Board of Parks and Recreation, 1986), </w:t>
      </w:r>
      <w:r>
        <w:t>91.</w:t>
      </w:r>
    </w:p>
  </w:footnote>
  <w:footnote w:id="129">
    <w:p w:rsidR="002F5AC7" w:rsidRDefault="002F5AC7" w:rsidP="007B57B0">
      <w:pPr>
        <w:pStyle w:val="FootnoteText"/>
      </w:pPr>
      <w:r>
        <w:rPr>
          <w:rStyle w:val="FootnoteReference"/>
        </w:rPr>
        <w:footnoteRef/>
      </w:r>
      <w:r>
        <w:t xml:space="preserve"> </w:t>
      </w:r>
      <w:proofErr w:type="gramStart"/>
      <w:r>
        <w:t>Ibid.,</w:t>
      </w:r>
      <w:proofErr w:type="gramEnd"/>
      <w:r>
        <w:t xml:space="preserve"> 91-92.</w:t>
      </w:r>
    </w:p>
  </w:footnote>
  <w:footnote w:id="130">
    <w:p w:rsidR="002F5AC7" w:rsidRDefault="002F5AC7" w:rsidP="007B57B0">
      <w:pPr>
        <w:pStyle w:val="FootnoteText"/>
      </w:pPr>
      <w:r>
        <w:rPr>
          <w:rStyle w:val="FootnoteReference"/>
        </w:rPr>
        <w:footnoteRef/>
      </w:r>
      <w:r>
        <w:t xml:space="preserve"> </w:t>
      </w:r>
      <w:r w:rsidRPr="00A2096E">
        <w:t>Benjamin Franklin Wilson III</w:t>
      </w:r>
      <w:r>
        <w:t xml:space="preserve">, </w:t>
      </w:r>
      <w:proofErr w:type="gramStart"/>
      <w:r w:rsidRPr="009538A1">
        <w:rPr>
          <w:i/>
        </w:rPr>
        <w:t>The</w:t>
      </w:r>
      <w:proofErr w:type="gramEnd"/>
      <w:r w:rsidRPr="009538A1">
        <w:rPr>
          <w:i/>
        </w:rPr>
        <w:t xml:space="preserve"> Parthenon of Pericles and its Reproduction in America</w:t>
      </w:r>
      <w:r>
        <w:t xml:space="preserve"> (Nashville: Parthenon Press, 1937), 42.</w:t>
      </w:r>
    </w:p>
  </w:footnote>
  <w:footnote w:id="131">
    <w:p w:rsidR="002F5AC7" w:rsidRDefault="002F5AC7" w:rsidP="007B57B0">
      <w:pPr>
        <w:pStyle w:val="FootnoteText"/>
      </w:pPr>
      <w:r>
        <w:rPr>
          <w:rStyle w:val="FootnoteReference"/>
        </w:rPr>
        <w:footnoteRef/>
      </w:r>
      <w:r>
        <w:t xml:space="preserve"> </w:t>
      </w:r>
      <w:proofErr w:type="gramStart"/>
      <w:r>
        <w:t>Ibid.,</w:t>
      </w:r>
      <w:proofErr w:type="gramEnd"/>
      <w:r>
        <w:t xml:space="preserve"> 43.</w:t>
      </w:r>
    </w:p>
  </w:footnote>
  <w:footnote w:id="132">
    <w:p w:rsidR="002F5AC7" w:rsidRDefault="002F5AC7" w:rsidP="007B57B0">
      <w:pPr>
        <w:pStyle w:val="FootnoteText"/>
      </w:pPr>
      <w:r>
        <w:rPr>
          <w:rStyle w:val="FootnoteReference"/>
        </w:rPr>
        <w:footnoteRef/>
      </w:r>
      <w:r>
        <w:t xml:space="preserve"> </w:t>
      </w:r>
      <w:r w:rsidRPr="00DD07F3">
        <w:t xml:space="preserve">Christine </w:t>
      </w:r>
      <w:r>
        <w:t>Kreyling</w:t>
      </w:r>
      <w:r w:rsidRPr="00DD07F3">
        <w:t>, Wesley Paine, Charles W. Waterfield</w:t>
      </w:r>
      <w:r>
        <w:t>, Jr., and Susan Ford Wiltshire,</w:t>
      </w:r>
      <w:r w:rsidRPr="00DD07F3">
        <w:t xml:space="preserve"> </w:t>
      </w:r>
      <w:r w:rsidRPr="00531943">
        <w:rPr>
          <w:i/>
        </w:rPr>
        <w:t>Classical Nashville: Athens of the South</w:t>
      </w:r>
      <w:r w:rsidRPr="00DD07F3">
        <w:t xml:space="preserve"> </w:t>
      </w:r>
      <w:r>
        <w:t>(</w:t>
      </w:r>
      <w:r w:rsidRPr="00DD07F3">
        <w:t>Nashville: Vanderbilt UP, 1996</w:t>
      </w:r>
      <w:r>
        <w:t>), 127-128.</w:t>
      </w:r>
    </w:p>
  </w:footnote>
  <w:footnote w:id="133">
    <w:p w:rsidR="002F5AC7" w:rsidRDefault="002F5AC7" w:rsidP="007B57B0">
      <w:pPr>
        <w:pStyle w:val="FootnoteText"/>
      </w:pPr>
      <w:r>
        <w:rPr>
          <w:rStyle w:val="FootnoteReference"/>
        </w:rPr>
        <w:footnoteRef/>
      </w:r>
      <w:r>
        <w:t xml:space="preserve"> </w:t>
      </w:r>
      <w:proofErr w:type="gramStart"/>
      <w:r>
        <w:t>Ibid.,</w:t>
      </w:r>
      <w:proofErr w:type="gramEnd"/>
      <w:r>
        <w:t xml:space="preserve"> 128.</w:t>
      </w:r>
    </w:p>
  </w:footnote>
  <w:footnote w:id="134">
    <w:p w:rsidR="002F5AC7" w:rsidRDefault="002F5AC7" w:rsidP="007B57B0">
      <w:pPr>
        <w:pStyle w:val="FootnoteText"/>
      </w:pPr>
      <w:r>
        <w:rPr>
          <w:rStyle w:val="FootnoteReference"/>
        </w:rPr>
        <w:footnoteRef/>
      </w:r>
      <w:r>
        <w:t xml:space="preserve"> </w:t>
      </w:r>
      <w:r w:rsidRPr="00D50C75">
        <w:t xml:space="preserve">Leland R. Johnson, </w:t>
      </w:r>
      <w:proofErr w:type="gramStart"/>
      <w:r w:rsidRPr="009538A1">
        <w:rPr>
          <w:i/>
        </w:rPr>
        <w:t>The</w:t>
      </w:r>
      <w:proofErr w:type="gramEnd"/>
      <w:r w:rsidRPr="009538A1">
        <w:rPr>
          <w:i/>
        </w:rPr>
        <w:t xml:space="preserve"> Parks of Nashville: A History of the Board of Parks and Recreation</w:t>
      </w:r>
      <w:r w:rsidRPr="00D50C75">
        <w:t xml:space="preserve"> (Nashville: Metropolitan Nashville and Davidson County Board of Parks and Recreation, 1986), </w:t>
      </w:r>
      <w:r>
        <w:t>92.</w:t>
      </w:r>
    </w:p>
  </w:footnote>
  <w:footnote w:id="135">
    <w:p w:rsidR="002F5AC7" w:rsidRDefault="002F5AC7" w:rsidP="007B57B0">
      <w:pPr>
        <w:pStyle w:val="FootnoteText"/>
      </w:pPr>
      <w:r>
        <w:rPr>
          <w:rStyle w:val="FootnoteReference"/>
        </w:rPr>
        <w:footnoteRef/>
      </w:r>
      <w:r>
        <w:t xml:space="preserve"> Alan </w:t>
      </w:r>
      <w:proofErr w:type="spellStart"/>
      <w:r>
        <w:t>Gevinson</w:t>
      </w:r>
      <w:proofErr w:type="spellEnd"/>
      <w:r>
        <w:t xml:space="preserve">, “Broadcasting Longevity,” </w:t>
      </w:r>
      <w:r w:rsidRPr="000B472F">
        <w:rPr>
          <w:i/>
        </w:rPr>
        <w:t>Teaching History</w:t>
      </w:r>
      <w:r>
        <w:rPr>
          <w:i/>
        </w:rPr>
        <w:t>,</w:t>
      </w:r>
      <w:r>
        <w:t xml:space="preserve"> 2016, </w:t>
      </w:r>
      <w:hyperlink r:id="rId3" w:history="1">
        <w:r w:rsidRPr="00850ECC">
          <w:rPr>
            <w:rStyle w:val="Hyperlink"/>
          </w:rPr>
          <w:t>http://www.teachinghistory.org/history-content/ask-a-historian/14557</w:t>
        </w:r>
      </w:hyperlink>
      <w:r>
        <w:t xml:space="preserve">. </w:t>
      </w:r>
    </w:p>
  </w:footnote>
  <w:footnote w:id="136">
    <w:p w:rsidR="002F5AC7" w:rsidRDefault="002F5AC7" w:rsidP="007B57B0">
      <w:pPr>
        <w:pStyle w:val="FootnoteText"/>
      </w:pPr>
      <w:r>
        <w:rPr>
          <w:rStyle w:val="FootnoteReference"/>
        </w:rPr>
        <w:footnoteRef/>
      </w:r>
      <w:r>
        <w:t xml:space="preserve"> </w:t>
      </w:r>
      <w:r w:rsidRPr="00D50C75">
        <w:t xml:space="preserve">Leland R. Johnson, </w:t>
      </w:r>
      <w:proofErr w:type="gramStart"/>
      <w:r w:rsidRPr="009538A1">
        <w:rPr>
          <w:i/>
        </w:rPr>
        <w:t>The</w:t>
      </w:r>
      <w:proofErr w:type="gramEnd"/>
      <w:r w:rsidRPr="009538A1">
        <w:rPr>
          <w:i/>
        </w:rPr>
        <w:t xml:space="preserve"> Parks of Nashville: A History of the Board of Parks and Recreation</w:t>
      </w:r>
      <w:r w:rsidRPr="00D50C75">
        <w:t xml:space="preserve"> (Nashville: Metropolitan Nashville and Davidson County Board of Parks and Recreation, 1986), </w:t>
      </w:r>
      <w:r>
        <w:t>160.</w:t>
      </w:r>
    </w:p>
  </w:footnote>
  <w:footnote w:id="137">
    <w:p w:rsidR="002F5AC7" w:rsidRDefault="002F5AC7">
      <w:pPr>
        <w:pStyle w:val="FootnoteText"/>
      </w:pPr>
      <w:r>
        <w:rPr>
          <w:rStyle w:val="FootnoteReference"/>
        </w:rPr>
        <w:footnoteRef/>
      </w:r>
      <w:r>
        <w:t xml:space="preserve"> </w:t>
      </w:r>
      <w:proofErr w:type="gramStart"/>
      <w:r>
        <w:t>Ibid.,</w:t>
      </w:r>
      <w:proofErr w:type="gramEnd"/>
      <w:r>
        <w:t xml:space="preserve"> 160-161. </w:t>
      </w:r>
    </w:p>
  </w:footnote>
  <w:footnote w:id="138">
    <w:p w:rsidR="002F5AC7" w:rsidRDefault="002F5AC7" w:rsidP="007B57B0">
      <w:pPr>
        <w:pStyle w:val="FootnoteText"/>
      </w:pPr>
      <w:r>
        <w:rPr>
          <w:rStyle w:val="FootnoteReference"/>
        </w:rPr>
        <w:footnoteRef/>
      </w:r>
      <w:r>
        <w:t xml:space="preserve"> </w:t>
      </w:r>
      <w:r w:rsidRPr="00D50C75">
        <w:t xml:space="preserve">Leland R. Johnson, </w:t>
      </w:r>
      <w:proofErr w:type="gramStart"/>
      <w:r w:rsidRPr="009538A1">
        <w:rPr>
          <w:i/>
        </w:rPr>
        <w:t>The</w:t>
      </w:r>
      <w:proofErr w:type="gramEnd"/>
      <w:r w:rsidRPr="009538A1">
        <w:rPr>
          <w:i/>
        </w:rPr>
        <w:t xml:space="preserve"> Parks of Nashville: A History of the Board of Parks and Recreation</w:t>
      </w:r>
      <w:r w:rsidRPr="00D50C75">
        <w:t xml:space="preserve"> (Nashville: Metropolitan Nashville and Davidson County Board of Parks and Recreation, 1986), </w:t>
      </w:r>
      <w:r>
        <w:t>145.</w:t>
      </w:r>
    </w:p>
  </w:footnote>
  <w:footnote w:id="139">
    <w:p w:rsidR="002F5AC7" w:rsidRPr="00A30A4B" w:rsidRDefault="002F5AC7" w:rsidP="00A30A4B">
      <w:pPr>
        <w:pStyle w:val="FootnoteText"/>
      </w:pPr>
      <w:r>
        <w:rPr>
          <w:rStyle w:val="FootnoteReference"/>
        </w:rPr>
        <w:footnoteRef/>
      </w:r>
      <w:r>
        <w:t xml:space="preserve"> </w:t>
      </w:r>
      <w:proofErr w:type="gramStart"/>
      <w:r w:rsidRPr="00A30A4B">
        <w:t xml:space="preserve">Gary Floyd </w:t>
      </w:r>
      <w:r>
        <w:t>Judkins in discussion with the author, October 23, 2014.</w:t>
      </w:r>
      <w:proofErr w:type="gramEnd"/>
      <w:r>
        <w:t xml:space="preserve"> </w:t>
      </w:r>
      <w:r w:rsidRPr="00A30A4B">
        <w:t xml:space="preserve"> </w:t>
      </w:r>
    </w:p>
    <w:p w:rsidR="002F5AC7" w:rsidRDefault="002F5AC7" w:rsidP="007B57B0">
      <w:pPr>
        <w:pStyle w:val="FootnoteText"/>
      </w:pPr>
    </w:p>
  </w:footnote>
  <w:footnote w:id="140">
    <w:p w:rsidR="002F5AC7" w:rsidRDefault="002F5AC7" w:rsidP="007B57B0">
      <w:pPr>
        <w:pStyle w:val="FootnoteText"/>
      </w:pPr>
      <w:r>
        <w:rPr>
          <w:rStyle w:val="FootnoteReference"/>
        </w:rPr>
        <w:footnoteRef/>
      </w:r>
      <w:r>
        <w:t xml:space="preserve"> </w:t>
      </w:r>
      <w:r w:rsidRPr="00DD07F3">
        <w:t xml:space="preserve">Christine </w:t>
      </w:r>
      <w:r>
        <w:t>Kreyling</w:t>
      </w:r>
      <w:r w:rsidRPr="00DD07F3">
        <w:t>, Wesley Paine, Charles W. Waterfield</w:t>
      </w:r>
      <w:r>
        <w:t>, Jr., and Susan Ford Wiltshire,</w:t>
      </w:r>
      <w:r w:rsidRPr="00DD07F3">
        <w:t xml:space="preserve"> </w:t>
      </w:r>
      <w:r w:rsidRPr="00531943">
        <w:rPr>
          <w:i/>
        </w:rPr>
        <w:t>Classical Nashville: Athens of the South</w:t>
      </w:r>
      <w:r w:rsidRPr="00DD07F3">
        <w:t xml:space="preserve"> </w:t>
      </w:r>
      <w:r>
        <w:t>(</w:t>
      </w:r>
      <w:r w:rsidRPr="00DD07F3">
        <w:t>Nashville: Vanderbilt UP, 1996</w:t>
      </w:r>
      <w:r>
        <w:t>), 133.</w:t>
      </w:r>
    </w:p>
  </w:footnote>
  <w:footnote w:id="141">
    <w:p w:rsidR="002F5AC7" w:rsidRDefault="002F5AC7" w:rsidP="007B57B0">
      <w:pPr>
        <w:pStyle w:val="FootnoteText"/>
      </w:pPr>
      <w:r>
        <w:rPr>
          <w:rStyle w:val="FootnoteReference"/>
        </w:rPr>
        <w:footnoteRef/>
      </w:r>
      <w:r>
        <w:t xml:space="preserve"> </w:t>
      </w:r>
      <w:proofErr w:type="gramStart"/>
      <w:r>
        <w:t>Ibid.,</w:t>
      </w:r>
      <w:proofErr w:type="gramEnd"/>
      <w:r>
        <w:t xml:space="preserve"> 133.</w:t>
      </w:r>
    </w:p>
  </w:footnote>
  <w:footnote w:id="142">
    <w:p w:rsidR="002F5AC7" w:rsidRDefault="002F5AC7" w:rsidP="00FD757C">
      <w:pPr>
        <w:pStyle w:val="FootnoteText"/>
      </w:pPr>
      <w:r>
        <w:rPr>
          <w:rStyle w:val="FootnoteReference"/>
        </w:rPr>
        <w:footnoteRef/>
      </w:r>
      <w:r>
        <w:t xml:space="preserve"> </w:t>
      </w:r>
      <w:r w:rsidRPr="00FD757C">
        <w:t xml:space="preserve">Wesley </w:t>
      </w:r>
      <w:r>
        <w:t>Paine</w:t>
      </w:r>
      <w:r w:rsidRPr="00FD757C">
        <w:t xml:space="preserve">, Laruen </w:t>
      </w:r>
      <w:proofErr w:type="spellStart"/>
      <w:r w:rsidRPr="00FD757C">
        <w:t>Bufferd</w:t>
      </w:r>
      <w:proofErr w:type="spellEnd"/>
      <w:r w:rsidRPr="00FD757C">
        <w:t xml:space="preserve">, Laura Carrillo, Timothy </w:t>
      </w:r>
      <w:proofErr w:type="spellStart"/>
      <w:r w:rsidRPr="00FD757C">
        <w:t>Cartmell</w:t>
      </w:r>
      <w:proofErr w:type="spellEnd"/>
      <w:r w:rsidRPr="00FD757C">
        <w:t xml:space="preserve">, Brenna </w:t>
      </w:r>
      <w:proofErr w:type="spellStart"/>
      <w:r w:rsidRPr="00FD757C">
        <w:t>Cothran</w:t>
      </w:r>
      <w:proofErr w:type="spellEnd"/>
      <w:r w:rsidRPr="00FD757C">
        <w:t xml:space="preserve">, Dee Gee Lester, Karen Riley, Susan Shockley, Amanda Tackett, Linda </w:t>
      </w:r>
      <w:proofErr w:type="spellStart"/>
      <w:r>
        <w:t>Vanlandingham</w:t>
      </w:r>
      <w:proofErr w:type="spellEnd"/>
      <w:r>
        <w:t>, and Chester Wade,</w:t>
      </w:r>
      <w:r w:rsidRPr="00FD757C">
        <w:t xml:space="preserve"> </w:t>
      </w:r>
      <w:proofErr w:type="gramStart"/>
      <w:r>
        <w:rPr>
          <w:i/>
        </w:rPr>
        <w:t>The</w:t>
      </w:r>
      <w:proofErr w:type="gramEnd"/>
      <w:r>
        <w:rPr>
          <w:i/>
        </w:rPr>
        <w:t xml:space="preserve"> Parthenon </w:t>
      </w:r>
      <w:r w:rsidRPr="007B745E">
        <w:t>(</w:t>
      </w:r>
      <w:r w:rsidRPr="00FD757C">
        <w:t>Nashville: The Parthenon, 2014</w:t>
      </w:r>
      <w:r>
        <w:t>), 45.</w:t>
      </w:r>
    </w:p>
  </w:footnote>
  <w:footnote w:id="143">
    <w:p w:rsidR="002F5AC7" w:rsidRDefault="002F5AC7" w:rsidP="007B57B0">
      <w:pPr>
        <w:pStyle w:val="FootnoteText"/>
      </w:pPr>
      <w:r>
        <w:rPr>
          <w:rStyle w:val="FootnoteReference"/>
        </w:rPr>
        <w:footnoteRef/>
      </w:r>
      <w:r>
        <w:t xml:space="preserve"> </w:t>
      </w:r>
      <w:r w:rsidRPr="0045373E">
        <w:t>Alan LeQuire</w:t>
      </w:r>
      <w:r>
        <w:t>,</w:t>
      </w:r>
      <w:r w:rsidRPr="0045373E">
        <w:t xml:space="preserve"> “Athena Partheno</w:t>
      </w:r>
      <w:r>
        <w:t>s: The Re-creation in Nashville,</w:t>
      </w:r>
      <w:r w:rsidRPr="0045373E">
        <w:t xml:space="preserve">” </w:t>
      </w:r>
      <w:r w:rsidRPr="0045373E">
        <w:rPr>
          <w:i/>
        </w:rPr>
        <w:t>Classical Nashville: Athens of the South</w:t>
      </w:r>
      <w:r>
        <w:t xml:space="preserve">, </w:t>
      </w:r>
      <w:r w:rsidRPr="0045373E">
        <w:t>Kreyling, Christine, Wesley Paine, Charles W. Waterfield</w:t>
      </w:r>
      <w:r>
        <w:t>, Jr., and Susan Ford Wiltshire</w:t>
      </w:r>
      <w:r w:rsidRPr="0045373E">
        <w:t xml:space="preserve"> </w:t>
      </w:r>
      <w:r>
        <w:t>(</w:t>
      </w:r>
      <w:r w:rsidRPr="0045373E">
        <w:t>Nashville: Vanderbilt UP,</w:t>
      </w:r>
      <w:r>
        <w:t xml:space="preserve"> 1996),</w:t>
      </w:r>
      <w:r w:rsidRPr="0045373E">
        <w:t xml:space="preserve"> </w:t>
      </w:r>
      <w:r>
        <w:t>143</w:t>
      </w:r>
      <w:r w:rsidRPr="0045373E">
        <w:t xml:space="preserve">. </w:t>
      </w:r>
    </w:p>
  </w:footnote>
  <w:footnote w:id="144">
    <w:p w:rsidR="002F5AC7" w:rsidRDefault="002F5AC7" w:rsidP="007B57B0">
      <w:pPr>
        <w:pStyle w:val="FootnoteText"/>
      </w:pPr>
      <w:r>
        <w:rPr>
          <w:rStyle w:val="FootnoteReference"/>
        </w:rPr>
        <w:footnoteRef/>
      </w:r>
      <w:r>
        <w:t xml:space="preserve"> </w:t>
      </w:r>
      <w:proofErr w:type="gramStart"/>
      <w:r>
        <w:t>Ibid.,</w:t>
      </w:r>
      <w:proofErr w:type="gramEnd"/>
      <w:r>
        <w:t xml:space="preserve"> 144.</w:t>
      </w:r>
    </w:p>
  </w:footnote>
  <w:footnote w:id="145">
    <w:p w:rsidR="002F5AC7" w:rsidRDefault="002F5AC7" w:rsidP="007B57B0">
      <w:pPr>
        <w:pStyle w:val="FootnoteText"/>
      </w:pPr>
      <w:r>
        <w:rPr>
          <w:rStyle w:val="FootnoteReference"/>
        </w:rPr>
        <w:footnoteRef/>
      </w:r>
      <w:r>
        <w:t xml:space="preserve"> </w:t>
      </w:r>
      <w:proofErr w:type="gramStart"/>
      <w:r>
        <w:t>Ibid.,</w:t>
      </w:r>
      <w:proofErr w:type="gramEnd"/>
      <w:r>
        <w:t xml:space="preserve"> 144.</w:t>
      </w:r>
    </w:p>
  </w:footnote>
  <w:footnote w:id="146">
    <w:p w:rsidR="002F5AC7" w:rsidRDefault="002F5AC7" w:rsidP="007B57B0">
      <w:pPr>
        <w:pStyle w:val="FootnoteText"/>
      </w:pPr>
      <w:r>
        <w:rPr>
          <w:rStyle w:val="FootnoteReference"/>
        </w:rPr>
        <w:footnoteRef/>
      </w:r>
      <w:r>
        <w:t xml:space="preserve"> </w:t>
      </w:r>
      <w:proofErr w:type="gramStart"/>
      <w:r>
        <w:t xml:space="preserve">The Conservancy, “About the Conservancy,” </w:t>
      </w:r>
      <w:r>
        <w:rPr>
          <w:i/>
        </w:rPr>
        <w:t>The Conservancy</w:t>
      </w:r>
      <w:r>
        <w:t xml:space="preserve">, 2016, </w:t>
      </w:r>
      <w:hyperlink r:id="rId4" w:history="1">
        <w:r w:rsidRPr="00850ECC">
          <w:rPr>
            <w:rStyle w:val="Hyperlink"/>
          </w:rPr>
          <w:t>http://conservancyonline.com/about</w:t>
        </w:r>
      </w:hyperlink>
      <w:r>
        <w:t>.</w:t>
      </w:r>
      <w:proofErr w:type="gramEnd"/>
      <w:r>
        <w:t xml:space="preserve"> </w:t>
      </w:r>
    </w:p>
  </w:footnote>
  <w:footnote w:id="147">
    <w:p w:rsidR="002F5AC7" w:rsidRDefault="002F5AC7" w:rsidP="007B57B0">
      <w:pPr>
        <w:pStyle w:val="FootnoteText"/>
      </w:pPr>
      <w:r>
        <w:rPr>
          <w:rStyle w:val="FootnoteReference"/>
        </w:rPr>
        <w:footnoteRef/>
      </w:r>
      <w:r>
        <w:t xml:space="preserve"> </w:t>
      </w:r>
      <w:r w:rsidRPr="00CA4F1D">
        <w:t>Plutarch</w:t>
      </w:r>
      <w:r w:rsidR="008E144A">
        <w:rPr>
          <w:i/>
        </w:rPr>
        <w:t xml:space="preserve">, </w:t>
      </w:r>
      <w:r>
        <w:rPr>
          <w:i/>
        </w:rPr>
        <w:t>Plutarch’s Lives</w:t>
      </w:r>
      <w:r w:rsidR="008E144A">
        <w:rPr>
          <w:i/>
        </w:rPr>
        <w:t xml:space="preserve">: </w:t>
      </w:r>
      <w:r w:rsidRPr="00EB5BD3">
        <w:rPr>
          <w:i/>
        </w:rPr>
        <w:t>Pericles</w:t>
      </w:r>
      <w:r>
        <w:t xml:space="preserve">, trans. </w:t>
      </w:r>
      <w:proofErr w:type="spellStart"/>
      <w:r>
        <w:t>Bernadontte</w:t>
      </w:r>
      <w:proofErr w:type="spellEnd"/>
      <w:r>
        <w:t xml:space="preserve"> Perrin</w:t>
      </w:r>
      <w:r w:rsidR="008E144A">
        <w:t xml:space="preserve">. </w:t>
      </w:r>
      <w:proofErr w:type="gramStart"/>
      <w:r w:rsidR="008E144A">
        <w:t>Loeb Classical Library.</w:t>
      </w:r>
      <w:proofErr w:type="gramEnd"/>
      <w:r w:rsidR="008E144A">
        <w:t xml:space="preserve"> </w:t>
      </w:r>
      <w:proofErr w:type="gramStart"/>
      <w:r>
        <w:t xml:space="preserve">(Cambridge: Harvard UP, 1984), </w:t>
      </w:r>
      <w:r w:rsidRPr="00CA4F1D">
        <w:t>13.3</w:t>
      </w:r>
      <w:r>
        <w: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5AC7" w:rsidRPr="00311AAD" w:rsidRDefault="002F5AC7">
    <w:pPr>
      <w:pStyle w:val="Header"/>
      <w:jc w:val="right"/>
      <w:rPr>
        <w:sz w:val="24"/>
      </w:rPr>
    </w:pPr>
  </w:p>
  <w:p w:rsidR="002F5AC7" w:rsidRDefault="002F5AC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E5011A"/>
    <w:multiLevelType w:val="hybridMultilevel"/>
    <w:tmpl w:val="273EF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2AF"/>
    <w:rsid w:val="000005E0"/>
    <w:rsid w:val="000024A8"/>
    <w:rsid w:val="00002A49"/>
    <w:rsid w:val="00002C4B"/>
    <w:rsid w:val="00002D6B"/>
    <w:rsid w:val="00004022"/>
    <w:rsid w:val="0000482A"/>
    <w:rsid w:val="00004AD7"/>
    <w:rsid w:val="00005B5A"/>
    <w:rsid w:val="00005F1B"/>
    <w:rsid w:val="00006597"/>
    <w:rsid w:val="000069C2"/>
    <w:rsid w:val="00007659"/>
    <w:rsid w:val="000077B0"/>
    <w:rsid w:val="00007AA1"/>
    <w:rsid w:val="0001065A"/>
    <w:rsid w:val="00010AED"/>
    <w:rsid w:val="00010CA3"/>
    <w:rsid w:val="00010F89"/>
    <w:rsid w:val="00011DEA"/>
    <w:rsid w:val="00011EB2"/>
    <w:rsid w:val="00011F00"/>
    <w:rsid w:val="000120FF"/>
    <w:rsid w:val="0001223D"/>
    <w:rsid w:val="00012D31"/>
    <w:rsid w:val="00012FD6"/>
    <w:rsid w:val="0001433E"/>
    <w:rsid w:val="00015202"/>
    <w:rsid w:val="0001574B"/>
    <w:rsid w:val="0001575F"/>
    <w:rsid w:val="00015775"/>
    <w:rsid w:val="000157C9"/>
    <w:rsid w:val="000158F8"/>
    <w:rsid w:val="000165AA"/>
    <w:rsid w:val="00016A79"/>
    <w:rsid w:val="00016B41"/>
    <w:rsid w:val="00016D6E"/>
    <w:rsid w:val="000173AD"/>
    <w:rsid w:val="00017511"/>
    <w:rsid w:val="00017682"/>
    <w:rsid w:val="00017794"/>
    <w:rsid w:val="00017B22"/>
    <w:rsid w:val="00017B4B"/>
    <w:rsid w:val="000201B3"/>
    <w:rsid w:val="0002077D"/>
    <w:rsid w:val="0002112E"/>
    <w:rsid w:val="00021311"/>
    <w:rsid w:val="00021395"/>
    <w:rsid w:val="0002143D"/>
    <w:rsid w:val="00022AF8"/>
    <w:rsid w:val="000249F2"/>
    <w:rsid w:val="0002673F"/>
    <w:rsid w:val="0002694E"/>
    <w:rsid w:val="00026B25"/>
    <w:rsid w:val="00026C07"/>
    <w:rsid w:val="00027160"/>
    <w:rsid w:val="000275C6"/>
    <w:rsid w:val="0002779A"/>
    <w:rsid w:val="00027F44"/>
    <w:rsid w:val="00030125"/>
    <w:rsid w:val="00030582"/>
    <w:rsid w:val="000306C3"/>
    <w:rsid w:val="0003077B"/>
    <w:rsid w:val="000307A5"/>
    <w:rsid w:val="00030880"/>
    <w:rsid w:val="00030F88"/>
    <w:rsid w:val="0003148C"/>
    <w:rsid w:val="00031A43"/>
    <w:rsid w:val="00031F40"/>
    <w:rsid w:val="00032210"/>
    <w:rsid w:val="00033210"/>
    <w:rsid w:val="000333FA"/>
    <w:rsid w:val="00033F33"/>
    <w:rsid w:val="000342B0"/>
    <w:rsid w:val="000344B6"/>
    <w:rsid w:val="000346F4"/>
    <w:rsid w:val="000347BF"/>
    <w:rsid w:val="00034DE1"/>
    <w:rsid w:val="00034E02"/>
    <w:rsid w:val="00034E80"/>
    <w:rsid w:val="000366FF"/>
    <w:rsid w:val="00037446"/>
    <w:rsid w:val="0003767B"/>
    <w:rsid w:val="00037BB6"/>
    <w:rsid w:val="00037C73"/>
    <w:rsid w:val="0004073C"/>
    <w:rsid w:val="00040909"/>
    <w:rsid w:val="00040AC4"/>
    <w:rsid w:val="00040C1E"/>
    <w:rsid w:val="00040FE0"/>
    <w:rsid w:val="000411B4"/>
    <w:rsid w:val="00041F25"/>
    <w:rsid w:val="000426D6"/>
    <w:rsid w:val="00042767"/>
    <w:rsid w:val="00042A4F"/>
    <w:rsid w:val="000434A2"/>
    <w:rsid w:val="000436B5"/>
    <w:rsid w:val="00043E35"/>
    <w:rsid w:val="000440A7"/>
    <w:rsid w:val="00046FDA"/>
    <w:rsid w:val="00047599"/>
    <w:rsid w:val="00047A52"/>
    <w:rsid w:val="00047ACE"/>
    <w:rsid w:val="000502CF"/>
    <w:rsid w:val="00050A8A"/>
    <w:rsid w:val="00050B60"/>
    <w:rsid w:val="0005133B"/>
    <w:rsid w:val="000515B0"/>
    <w:rsid w:val="00051F7A"/>
    <w:rsid w:val="0005257B"/>
    <w:rsid w:val="00052E34"/>
    <w:rsid w:val="000531C9"/>
    <w:rsid w:val="00053457"/>
    <w:rsid w:val="00053D38"/>
    <w:rsid w:val="00055918"/>
    <w:rsid w:val="00056E91"/>
    <w:rsid w:val="0005757D"/>
    <w:rsid w:val="00057F61"/>
    <w:rsid w:val="00062AAE"/>
    <w:rsid w:val="00062B7A"/>
    <w:rsid w:val="00062C3F"/>
    <w:rsid w:val="00063501"/>
    <w:rsid w:val="00064709"/>
    <w:rsid w:val="00064C39"/>
    <w:rsid w:val="00065ED9"/>
    <w:rsid w:val="00066100"/>
    <w:rsid w:val="000662B3"/>
    <w:rsid w:val="000667BA"/>
    <w:rsid w:val="00066EFC"/>
    <w:rsid w:val="000674B5"/>
    <w:rsid w:val="00067ADF"/>
    <w:rsid w:val="000706AD"/>
    <w:rsid w:val="0007088D"/>
    <w:rsid w:val="00071055"/>
    <w:rsid w:val="00071201"/>
    <w:rsid w:val="00071899"/>
    <w:rsid w:val="00072072"/>
    <w:rsid w:val="000723F4"/>
    <w:rsid w:val="0007331B"/>
    <w:rsid w:val="00073A75"/>
    <w:rsid w:val="00073D0A"/>
    <w:rsid w:val="000747D5"/>
    <w:rsid w:val="00074AE6"/>
    <w:rsid w:val="00074CB3"/>
    <w:rsid w:val="00075278"/>
    <w:rsid w:val="00076ADE"/>
    <w:rsid w:val="00077228"/>
    <w:rsid w:val="00077351"/>
    <w:rsid w:val="00077D08"/>
    <w:rsid w:val="00080BF4"/>
    <w:rsid w:val="00080E73"/>
    <w:rsid w:val="00081731"/>
    <w:rsid w:val="00081C1E"/>
    <w:rsid w:val="00082022"/>
    <w:rsid w:val="0008205A"/>
    <w:rsid w:val="00082D9E"/>
    <w:rsid w:val="00082F3E"/>
    <w:rsid w:val="00083D61"/>
    <w:rsid w:val="00083E40"/>
    <w:rsid w:val="00084708"/>
    <w:rsid w:val="00084CE5"/>
    <w:rsid w:val="00086685"/>
    <w:rsid w:val="00086739"/>
    <w:rsid w:val="00086759"/>
    <w:rsid w:val="00086CE2"/>
    <w:rsid w:val="000906D3"/>
    <w:rsid w:val="000909E7"/>
    <w:rsid w:val="00091D0D"/>
    <w:rsid w:val="00091D8A"/>
    <w:rsid w:val="00091F22"/>
    <w:rsid w:val="00092541"/>
    <w:rsid w:val="00092AB4"/>
    <w:rsid w:val="00093757"/>
    <w:rsid w:val="00093874"/>
    <w:rsid w:val="000940E2"/>
    <w:rsid w:val="000941C9"/>
    <w:rsid w:val="0009498A"/>
    <w:rsid w:val="00094C97"/>
    <w:rsid w:val="00094F3E"/>
    <w:rsid w:val="000952BB"/>
    <w:rsid w:val="000961A2"/>
    <w:rsid w:val="00096BB6"/>
    <w:rsid w:val="000979DB"/>
    <w:rsid w:val="00097B82"/>
    <w:rsid w:val="00097F46"/>
    <w:rsid w:val="000A0033"/>
    <w:rsid w:val="000A0447"/>
    <w:rsid w:val="000A1729"/>
    <w:rsid w:val="000A1C58"/>
    <w:rsid w:val="000A2196"/>
    <w:rsid w:val="000A2515"/>
    <w:rsid w:val="000A2B4E"/>
    <w:rsid w:val="000A33EE"/>
    <w:rsid w:val="000A3A9B"/>
    <w:rsid w:val="000A404A"/>
    <w:rsid w:val="000A4440"/>
    <w:rsid w:val="000A5191"/>
    <w:rsid w:val="000A53C7"/>
    <w:rsid w:val="000A5979"/>
    <w:rsid w:val="000A5B0F"/>
    <w:rsid w:val="000A5ED0"/>
    <w:rsid w:val="000A6510"/>
    <w:rsid w:val="000A7C4F"/>
    <w:rsid w:val="000A7DBD"/>
    <w:rsid w:val="000B12D2"/>
    <w:rsid w:val="000B1B15"/>
    <w:rsid w:val="000B25C8"/>
    <w:rsid w:val="000B2B51"/>
    <w:rsid w:val="000B2E6C"/>
    <w:rsid w:val="000B2EC1"/>
    <w:rsid w:val="000B3159"/>
    <w:rsid w:val="000B3A71"/>
    <w:rsid w:val="000B41DA"/>
    <w:rsid w:val="000B472F"/>
    <w:rsid w:val="000B541E"/>
    <w:rsid w:val="000B691E"/>
    <w:rsid w:val="000B708F"/>
    <w:rsid w:val="000B720A"/>
    <w:rsid w:val="000B78E0"/>
    <w:rsid w:val="000B7BB6"/>
    <w:rsid w:val="000B7CEB"/>
    <w:rsid w:val="000C06F9"/>
    <w:rsid w:val="000C103B"/>
    <w:rsid w:val="000C1655"/>
    <w:rsid w:val="000C16BB"/>
    <w:rsid w:val="000C1FF2"/>
    <w:rsid w:val="000C2703"/>
    <w:rsid w:val="000C3F06"/>
    <w:rsid w:val="000C4E59"/>
    <w:rsid w:val="000C4F09"/>
    <w:rsid w:val="000C4F8C"/>
    <w:rsid w:val="000C5D0D"/>
    <w:rsid w:val="000C5F26"/>
    <w:rsid w:val="000C63B2"/>
    <w:rsid w:val="000C7284"/>
    <w:rsid w:val="000C765C"/>
    <w:rsid w:val="000C76C7"/>
    <w:rsid w:val="000C7731"/>
    <w:rsid w:val="000C7AB7"/>
    <w:rsid w:val="000D095F"/>
    <w:rsid w:val="000D1127"/>
    <w:rsid w:val="000D13DC"/>
    <w:rsid w:val="000D16B9"/>
    <w:rsid w:val="000D1B72"/>
    <w:rsid w:val="000D2431"/>
    <w:rsid w:val="000D266F"/>
    <w:rsid w:val="000D2ECA"/>
    <w:rsid w:val="000D33D0"/>
    <w:rsid w:val="000D462F"/>
    <w:rsid w:val="000D53B4"/>
    <w:rsid w:val="000D5422"/>
    <w:rsid w:val="000D5766"/>
    <w:rsid w:val="000D58A1"/>
    <w:rsid w:val="000D58F4"/>
    <w:rsid w:val="000D6FBB"/>
    <w:rsid w:val="000D71B7"/>
    <w:rsid w:val="000D7323"/>
    <w:rsid w:val="000D75C2"/>
    <w:rsid w:val="000D7A28"/>
    <w:rsid w:val="000D7E12"/>
    <w:rsid w:val="000E0395"/>
    <w:rsid w:val="000E1450"/>
    <w:rsid w:val="000E1FAF"/>
    <w:rsid w:val="000E202E"/>
    <w:rsid w:val="000E2BE7"/>
    <w:rsid w:val="000E2EE3"/>
    <w:rsid w:val="000E3536"/>
    <w:rsid w:val="000E3837"/>
    <w:rsid w:val="000E3F79"/>
    <w:rsid w:val="000E4011"/>
    <w:rsid w:val="000E4CBF"/>
    <w:rsid w:val="000E6186"/>
    <w:rsid w:val="000E63DA"/>
    <w:rsid w:val="000E673A"/>
    <w:rsid w:val="000E794E"/>
    <w:rsid w:val="000E7A74"/>
    <w:rsid w:val="000F0043"/>
    <w:rsid w:val="000F0288"/>
    <w:rsid w:val="000F02D0"/>
    <w:rsid w:val="000F0A6B"/>
    <w:rsid w:val="000F0BBB"/>
    <w:rsid w:val="000F0FD9"/>
    <w:rsid w:val="000F1161"/>
    <w:rsid w:val="000F129B"/>
    <w:rsid w:val="000F12CB"/>
    <w:rsid w:val="000F25CD"/>
    <w:rsid w:val="000F29E8"/>
    <w:rsid w:val="000F2F6D"/>
    <w:rsid w:val="000F3197"/>
    <w:rsid w:val="000F3C5D"/>
    <w:rsid w:val="000F4291"/>
    <w:rsid w:val="000F4E0F"/>
    <w:rsid w:val="000F537A"/>
    <w:rsid w:val="000F5BD4"/>
    <w:rsid w:val="000F5DE4"/>
    <w:rsid w:val="000F602C"/>
    <w:rsid w:val="000F6A13"/>
    <w:rsid w:val="000F6E0F"/>
    <w:rsid w:val="000F707F"/>
    <w:rsid w:val="000F724A"/>
    <w:rsid w:val="000F76E1"/>
    <w:rsid w:val="000F786C"/>
    <w:rsid w:val="000F7B0E"/>
    <w:rsid w:val="000F7EDC"/>
    <w:rsid w:val="000F7FE5"/>
    <w:rsid w:val="00100637"/>
    <w:rsid w:val="00100CF7"/>
    <w:rsid w:val="00100D50"/>
    <w:rsid w:val="0010143C"/>
    <w:rsid w:val="0010170E"/>
    <w:rsid w:val="00101A65"/>
    <w:rsid w:val="00102AB9"/>
    <w:rsid w:val="00103A25"/>
    <w:rsid w:val="00103AEA"/>
    <w:rsid w:val="00103FDC"/>
    <w:rsid w:val="00104740"/>
    <w:rsid w:val="00105126"/>
    <w:rsid w:val="00105592"/>
    <w:rsid w:val="001055BB"/>
    <w:rsid w:val="001058B9"/>
    <w:rsid w:val="00107292"/>
    <w:rsid w:val="0011182B"/>
    <w:rsid w:val="00113A2D"/>
    <w:rsid w:val="00113BA3"/>
    <w:rsid w:val="00114871"/>
    <w:rsid w:val="001153DB"/>
    <w:rsid w:val="001155F7"/>
    <w:rsid w:val="00116725"/>
    <w:rsid w:val="001169F7"/>
    <w:rsid w:val="001170E8"/>
    <w:rsid w:val="00117230"/>
    <w:rsid w:val="00117545"/>
    <w:rsid w:val="00117C51"/>
    <w:rsid w:val="001200CD"/>
    <w:rsid w:val="001204E4"/>
    <w:rsid w:val="00121839"/>
    <w:rsid w:val="00121A82"/>
    <w:rsid w:val="00121E95"/>
    <w:rsid w:val="001220C2"/>
    <w:rsid w:val="00122201"/>
    <w:rsid w:val="00122363"/>
    <w:rsid w:val="00123CA1"/>
    <w:rsid w:val="00123E3A"/>
    <w:rsid w:val="00124191"/>
    <w:rsid w:val="001241BB"/>
    <w:rsid w:val="0012472F"/>
    <w:rsid w:val="0012476E"/>
    <w:rsid w:val="00124DC2"/>
    <w:rsid w:val="00124F23"/>
    <w:rsid w:val="001256E5"/>
    <w:rsid w:val="00125BF4"/>
    <w:rsid w:val="00126B70"/>
    <w:rsid w:val="00126BCC"/>
    <w:rsid w:val="001304EF"/>
    <w:rsid w:val="00130592"/>
    <w:rsid w:val="001306E4"/>
    <w:rsid w:val="0013084E"/>
    <w:rsid w:val="00130DE1"/>
    <w:rsid w:val="00131217"/>
    <w:rsid w:val="00131D7D"/>
    <w:rsid w:val="0013369D"/>
    <w:rsid w:val="00133720"/>
    <w:rsid w:val="00133C3F"/>
    <w:rsid w:val="001346B6"/>
    <w:rsid w:val="0013482F"/>
    <w:rsid w:val="001348AE"/>
    <w:rsid w:val="001351D7"/>
    <w:rsid w:val="001359FA"/>
    <w:rsid w:val="00135E6C"/>
    <w:rsid w:val="0013679E"/>
    <w:rsid w:val="00136C90"/>
    <w:rsid w:val="00136D52"/>
    <w:rsid w:val="00137B55"/>
    <w:rsid w:val="00140001"/>
    <w:rsid w:val="001410C1"/>
    <w:rsid w:val="0014140A"/>
    <w:rsid w:val="00141621"/>
    <w:rsid w:val="0014215B"/>
    <w:rsid w:val="0014356F"/>
    <w:rsid w:val="0014372F"/>
    <w:rsid w:val="00143937"/>
    <w:rsid w:val="00143B48"/>
    <w:rsid w:val="001441A1"/>
    <w:rsid w:val="00144223"/>
    <w:rsid w:val="001443EE"/>
    <w:rsid w:val="001445DD"/>
    <w:rsid w:val="00144D40"/>
    <w:rsid w:val="00144F67"/>
    <w:rsid w:val="00145603"/>
    <w:rsid w:val="00145ED5"/>
    <w:rsid w:val="00146578"/>
    <w:rsid w:val="0014684A"/>
    <w:rsid w:val="00146A99"/>
    <w:rsid w:val="00147519"/>
    <w:rsid w:val="0014791A"/>
    <w:rsid w:val="00147A6D"/>
    <w:rsid w:val="00147D30"/>
    <w:rsid w:val="00150500"/>
    <w:rsid w:val="0015073D"/>
    <w:rsid w:val="001517D0"/>
    <w:rsid w:val="00152213"/>
    <w:rsid w:val="00152435"/>
    <w:rsid w:val="0015275C"/>
    <w:rsid w:val="00152775"/>
    <w:rsid w:val="00152E93"/>
    <w:rsid w:val="00152EBC"/>
    <w:rsid w:val="0015311A"/>
    <w:rsid w:val="00153DA8"/>
    <w:rsid w:val="001541D3"/>
    <w:rsid w:val="001543E2"/>
    <w:rsid w:val="001548E0"/>
    <w:rsid w:val="00154905"/>
    <w:rsid w:val="0015501E"/>
    <w:rsid w:val="00155095"/>
    <w:rsid w:val="00155179"/>
    <w:rsid w:val="00155721"/>
    <w:rsid w:val="00155C70"/>
    <w:rsid w:val="00157BBA"/>
    <w:rsid w:val="00160620"/>
    <w:rsid w:val="00161128"/>
    <w:rsid w:val="0016123B"/>
    <w:rsid w:val="00161788"/>
    <w:rsid w:val="00162430"/>
    <w:rsid w:val="00163EA6"/>
    <w:rsid w:val="00163F1B"/>
    <w:rsid w:val="00164847"/>
    <w:rsid w:val="00164BCD"/>
    <w:rsid w:val="001652A1"/>
    <w:rsid w:val="00166AC8"/>
    <w:rsid w:val="00166CB8"/>
    <w:rsid w:val="00166F2D"/>
    <w:rsid w:val="00167943"/>
    <w:rsid w:val="0017000C"/>
    <w:rsid w:val="0017089F"/>
    <w:rsid w:val="00170DCD"/>
    <w:rsid w:val="00171674"/>
    <w:rsid w:val="001717D7"/>
    <w:rsid w:val="00171C34"/>
    <w:rsid w:val="00172250"/>
    <w:rsid w:val="00172B1C"/>
    <w:rsid w:val="00172D28"/>
    <w:rsid w:val="0017350D"/>
    <w:rsid w:val="0017426F"/>
    <w:rsid w:val="001744C2"/>
    <w:rsid w:val="001745B6"/>
    <w:rsid w:val="0017495F"/>
    <w:rsid w:val="00174C38"/>
    <w:rsid w:val="00175095"/>
    <w:rsid w:val="00175544"/>
    <w:rsid w:val="00175EBC"/>
    <w:rsid w:val="00176313"/>
    <w:rsid w:val="001763DC"/>
    <w:rsid w:val="001777AC"/>
    <w:rsid w:val="001779D7"/>
    <w:rsid w:val="00180277"/>
    <w:rsid w:val="00182081"/>
    <w:rsid w:val="0018217B"/>
    <w:rsid w:val="001834EE"/>
    <w:rsid w:val="00183B5E"/>
    <w:rsid w:val="00184BCE"/>
    <w:rsid w:val="001854CF"/>
    <w:rsid w:val="00185C64"/>
    <w:rsid w:val="00186347"/>
    <w:rsid w:val="001865FF"/>
    <w:rsid w:val="001869F6"/>
    <w:rsid w:val="00187149"/>
    <w:rsid w:val="00187970"/>
    <w:rsid w:val="00187FBC"/>
    <w:rsid w:val="00190316"/>
    <w:rsid w:val="0019045D"/>
    <w:rsid w:val="00190768"/>
    <w:rsid w:val="00190A12"/>
    <w:rsid w:val="00192BD4"/>
    <w:rsid w:val="001931C1"/>
    <w:rsid w:val="001946D3"/>
    <w:rsid w:val="00194B3A"/>
    <w:rsid w:val="00195EEB"/>
    <w:rsid w:val="00196692"/>
    <w:rsid w:val="00197DFD"/>
    <w:rsid w:val="00197E96"/>
    <w:rsid w:val="001A12D5"/>
    <w:rsid w:val="001A1476"/>
    <w:rsid w:val="001A23A9"/>
    <w:rsid w:val="001A2692"/>
    <w:rsid w:val="001A2B9C"/>
    <w:rsid w:val="001A2CB8"/>
    <w:rsid w:val="001A33B4"/>
    <w:rsid w:val="001A3D7C"/>
    <w:rsid w:val="001A4208"/>
    <w:rsid w:val="001A45F0"/>
    <w:rsid w:val="001A5DA2"/>
    <w:rsid w:val="001A67CB"/>
    <w:rsid w:val="001A6AAA"/>
    <w:rsid w:val="001A6F18"/>
    <w:rsid w:val="001A75E8"/>
    <w:rsid w:val="001A7BD6"/>
    <w:rsid w:val="001A7BEB"/>
    <w:rsid w:val="001A7E2F"/>
    <w:rsid w:val="001B0AB2"/>
    <w:rsid w:val="001B17DA"/>
    <w:rsid w:val="001B1A6D"/>
    <w:rsid w:val="001B1FD0"/>
    <w:rsid w:val="001B3070"/>
    <w:rsid w:val="001B401B"/>
    <w:rsid w:val="001B4CB2"/>
    <w:rsid w:val="001B5C85"/>
    <w:rsid w:val="001B630D"/>
    <w:rsid w:val="001B6771"/>
    <w:rsid w:val="001B6B23"/>
    <w:rsid w:val="001B71E4"/>
    <w:rsid w:val="001B763B"/>
    <w:rsid w:val="001B7905"/>
    <w:rsid w:val="001B7AEF"/>
    <w:rsid w:val="001C1C36"/>
    <w:rsid w:val="001C1E58"/>
    <w:rsid w:val="001C24B2"/>
    <w:rsid w:val="001C3524"/>
    <w:rsid w:val="001C3B4F"/>
    <w:rsid w:val="001C3C1B"/>
    <w:rsid w:val="001C4B79"/>
    <w:rsid w:val="001C59A4"/>
    <w:rsid w:val="001C59BE"/>
    <w:rsid w:val="001C6619"/>
    <w:rsid w:val="001C6A44"/>
    <w:rsid w:val="001C6B34"/>
    <w:rsid w:val="001C6DDC"/>
    <w:rsid w:val="001C725D"/>
    <w:rsid w:val="001D0B80"/>
    <w:rsid w:val="001D1FA3"/>
    <w:rsid w:val="001D2024"/>
    <w:rsid w:val="001D20E7"/>
    <w:rsid w:val="001D244E"/>
    <w:rsid w:val="001D3D7D"/>
    <w:rsid w:val="001D42F4"/>
    <w:rsid w:val="001D4BF2"/>
    <w:rsid w:val="001D5184"/>
    <w:rsid w:val="001D5676"/>
    <w:rsid w:val="001D6399"/>
    <w:rsid w:val="001D6692"/>
    <w:rsid w:val="001D7043"/>
    <w:rsid w:val="001D733D"/>
    <w:rsid w:val="001D78D7"/>
    <w:rsid w:val="001D7E74"/>
    <w:rsid w:val="001E0200"/>
    <w:rsid w:val="001E11F8"/>
    <w:rsid w:val="001E2434"/>
    <w:rsid w:val="001E29A3"/>
    <w:rsid w:val="001E2B91"/>
    <w:rsid w:val="001E2CCA"/>
    <w:rsid w:val="001E2D02"/>
    <w:rsid w:val="001E30D6"/>
    <w:rsid w:val="001E31B9"/>
    <w:rsid w:val="001E3240"/>
    <w:rsid w:val="001E3A39"/>
    <w:rsid w:val="001E4BB0"/>
    <w:rsid w:val="001E564B"/>
    <w:rsid w:val="001E58C1"/>
    <w:rsid w:val="001E5964"/>
    <w:rsid w:val="001E62F3"/>
    <w:rsid w:val="001E647B"/>
    <w:rsid w:val="001E6DBB"/>
    <w:rsid w:val="001E7DCB"/>
    <w:rsid w:val="001F050D"/>
    <w:rsid w:val="001F10AF"/>
    <w:rsid w:val="001F111C"/>
    <w:rsid w:val="001F1A8E"/>
    <w:rsid w:val="001F2EF7"/>
    <w:rsid w:val="001F3F28"/>
    <w:rsid w:val="001F4227"/>
    <w:rsid w:val="001F43DA"/>
    <w:rsid w:val="001F44DE"/>
    <w:rsid w:val="001F4604"/>
    <w:rsid w:val="001F607A"/>
    <w:rsid w:val="001F6488"/>
    <w:rsid w:val="001F7113"/>
    <w:rsid w:val="001F76E3"/>
    <w:rsid w:val="00200540"/>
    <w:rsid w:val="00200CF9"/>
    <w:rsid w:val="00201426"/>
    <w:rsid w:val="00201A88"/>
    <w:rsid w:val="00201F14"/>
    <w:rsid w:val="00202044"/>
    <w:rsid w:val="002026DE"/>
    <w:rsid w:val="0020270A"/>
    <w:rsid w:val="0020301A"/>
    <w:rsid w:val="00204042"/>
    <w:rsid w:val="00205C52"/>
    <w:rsid w:val="00207500"/>
    <w:rsid w:val="00207703"/>
    <w:rsid w:val="00207CFD"/>
    <w:rsid w:val="00207E94"/>
    <w:rsid w:val="00207F2B"/>
    <w:rsid w:val="002101DB"/>
    <w:rsid w:val="002105B7"/>
    <w:rsid w:val="0021159F"/>
    <w:rsid w:val="00211774"/>
    <w:rsid w:val="00211D72"/>
    <w:rsid w:val="0021243F"/>
    <w:rsid w:val="00212F14"/>
    <w:rsid w:val="0021302B"/>
    <w:rsid w:val="00213526"/>
    <w:rsid w:val="00213AD5"/>
    <w:rsid w:val="002146E6"/>
    <w:rsid w:val="00215303"/>
    <w:rsid w:val="00215A5F"/>
    <w:rsid w:val="00215D11"/>
    <w:rsid w:val="00216024"/>
    <w:rsid w:val="00217299"/>
    <w:rsid w:val="0021740A"/>
    <w:rsid w:val="00217A4B"/>
    <w:rsid w:val="00217A82"/>
    <w:rsid w:val="0022028D"/>
    <w:rsid w:val="00220479"/>
    <w:rsid w:val="002209DE"/>
    <w:rsid w:val="00221291"/>
    <w:rsid w:val="00221599"/>
    <w:rsid w:val="0022191E"/>
    <w:rsid w:val="00222AB6"/>
    <w:rsid w:val="00222E22"/>
    <w:rsid w:val="002239D9"/>
    <w:rsid w:val="00224141"/>
    <w:rsid w:val="00224BCE"/>
    <w:rsid w:val="00224CC4"/>
    <w:rsid w:val="0022543B"/>
    <w:rsid w:val="00226B67"/>
    <w:rsid w:val="00226CFE"/>
    <w:rsid w:val="002304D7"/>
    <w:rsid w:val="00231638"/>
    <w:rsid w:val="002317E2"/>
    <w:rsid w:val="002318AB"/>
    <w:rsid w:val="00231A4E"/>
    <w:rsid w:val="00233FFE"/>
    <w:rsid w:val="00234092"/>
    <w:rsid w:val="00234F61"/>
    <w:rsid w:val="00234FBE"/>
    <w:rsid w:val="002352BD"/>
    <w:rsid w:val="002353F2"/>
    <w:rsid w:val="00235CDC"/>
    <w:rsid w:val="002368CA"/>
    <w:rsid w:val="0023702E"/>
    <w:rsid w:val="00237B13"/>
    <w:rsid w:val="0024010A"/>
    <w:rsid w:val="0024040C"/>
    <w:rsid w:val="00240953"/>
    <w:rsid w:val="002418C8"/>
    <w:rsid w:val="002418EB"/>
    <w:rsid w:val="00241BFA"/>
    <w:rsid w:val="00242334"/>
    <w:rsid w:val="00242BFD"/>
    <w:rsid w:val="00242F8C"/>
    <w:rsid w:val="0024305C"/>
    <w:rsid w:val="00243303"/>
    <w:rsid w:val="0024380E"/>
    <w:rsid w:val="00243819"/>
    <w:rsid w:val="0024417B"/>
    <w:rsid w:val="0024447E"/>
    <w:rsid w:val="0024466F"/>
    <w:rsid w:val="002448EC"/>
    <w:rsid w:val="00245BC5"/>
    <w:rsid w:val="0024663C"/>
    <w:rsid w:val="002479B1"/>
    <w:rsid w:val="0025026C"/>
    <w:rsid w:val="00250317"/>
    <w:rsid w:val="00250378"/>
    <w:rsid w:val="002505B6"/>
    <w:rsid w:val="0025066D"/>
    <w:rsid w:val="00251190"/>
    <w:rsid w:val="002519F4"/>
    <w:rsid w:val="00252349"/>
    <w:rsid w:val="0025292D"/>
    <w:rsid w:val="00253904"/>
    <w:rsid w:val="00253DB6"/>
    <w:rsid w:val="0025455F"/>
    <w:rsid w:val="0025493C"/>
    <w:rsid w:val="00256B0A"/>
    <w:rsid w:val="00257E2D"/>
    <w:rsid w:val="00260315"/>
    <w:rsid w:val="002605A4"/>
    <w:rsid w:val="00260D77"/>
    <w:rsid w:val="00260D7C"/>
    <w:rsid w:val="00260E39"/>
    <w:rsid w:val="0026276E"/>
    <w:rsid w:val="002629BF"/>
    <w:rsid w:val="00262C42"/>
    <w:rsid w:val="00262D39"/>
    <w:rsid w:val="00262F5C"/>
    <w:rsid w:val="00263BFA"/>
    <w:rsid w:val="00265242"/>
    <w:rsid w:val="00266B06"/>
    <w:rsid w:val="002676F3"/>
    <w:rsid w:val="00267B4B"/>
    <w:rsid w:val="00270AF4"/>
    <w:rsid w:val="00270C30"/>
    <w:rsid w:val="00270E7D"/>
    <w:rsid w:val="002714B4"/>
    <w:rsid w:val="002725AA"/>
    <w:rsid w:val="002736E4"/>
    <w:rsid w:val="002737D6"/>
    <w:rsid w:val="00273E61"/>
    <w:rsid w:val="00273FB3"/>
    <w:rsid w:val="00274285"/>
    <w:rsid w:val="00274F8D"/>
    <w:rsid w:val="00275B2F"/>
    <w:rsid w:val="00275E8B"/>
    <w:rsid w:val="0027679E"/>
    <w:rsid w:val="00276C36"/>
    <w:rsid w:val="002778F6"/>
    <w:rsid w:val="00280623"/>
    <w:rsid w:val="002817AE"/>
    <w:rsid w:val="00282DA8"/>
    <w:rsid w:val="00283216"/>
    <w:rsid w:val="002833A8"/>
    <w:rsid w:val="002836D9"/>
    <w:rsid w:val="002843C4"/>
    <w:rsid w:val="002847B5"/>
    <w:rsid w:val="00284DB0"/>
    <w:rsid w:val="00285648"/>
    <w:rsid w:val="00285C8F"/>
    <w:rsid w:val="002860F9"/>
    <w:rsid w:val="00286526"/>
    <w:rsid w:val="00286C5E"/>
    <w:rsid w:val="00286C93"/>
    <w:rsid w:val="00286E03"/>
    <w:rsid w:val="00286FF2"/>
    <w:rsid w:val="0028768C"/>
    <w:rsid w:val="00287ADA"/>
    <w:rsid w:val="00290CFF"/>
    <w:rsid w:val="00292438"/>
    <w:rsid w:val="00293D73"/>
    <w:rsid w:val="00293EB2"/>
    <w:rsid w:val="00293FCF"/>
    <w:rsid w:val="002940ED"/>
    <w:rsid w:val="002953AE"/>
    <w:rsid w:val="002957C6"/>
    <w:rsid w:val="00295AC4"/>
    <w:rsid w:val="00296E32"/>
    <w:rsid w:val="00297274"/>
    <w:rsid w:val="002A0526"/>
    <w:rsid w:val="002A0F08"/>
    <w:rsid w:val="002A1F4A"/>
    <w:rsid w:val="002A2A78"/>
    <w:rsid w:val="002A3FF4"/>
    <w:rsid w:val="002A45E3"/>
    <w:rsid w:val="002A4EB8"/>
    <w:rsid w:val="002A50D0"/>
    <w:rsid w:val="002A57B1"/>
    <w:rsid w:val="002A5D1E"/>
    <w:rsid w:val="002A612F"/>
    <w:rsid w:val="002A6524"/>
    <w:rsid w:val="002A7921"/>
    <w:rsid w:val="002A7981"/>
    <w:rsid w:val="002B0C9D"/>
    <w:rsid w:val="002B0D86"/>
    <w:rsid w:val="002B1086"/>
    <w:rsid w:val="002B21EB"/>
    <w:rsid w:val="002B27D5"/>
    <w:rsid w:val="002B2ABC"/>
    <w:rsid w:val="002B3002"/>
    <w:rsid w:val="002B3142"/>
    <w:rsid w:val="002B316D"/>
    <w:rsid w:val="002B3587"/>
    <w:rsid w:val="002B381C"/>
    <w:rsid w:val="002B3A75"/>
    <w:rsid w:val="002B4458"/>
    <w:rsid w:val="002B4E4F"/>
    <w:rsid w:val="002B4EA6"/>
    <w:rsid w:val="002B5FC0"/>
    <w:rsid w:val="002B751E"/>
    <w:rsid w:val="002C0CC9"/>
    <w:rsid w:val="002C0E18"/>
    <w:rsid w:val="002C14AD"/>
    <w:rsid w:val="002C154A"/>
    <w:rsid w:val="002C23F4"/>
    <w:rsid w:val="002C2878"/>
    <w:rsid w:val="002C28F4"/>
    <w:rsid w:val="002C2B3C"/>
    <w:rsid w:val="002C2E5A"/>
    <w:rsid w:val="002C3207"/>
    <w:rsid w:val="002C3903"/>
    <w:rsid w:val="002C41F7"/>
    <w:rsid w:val="002C49FE"/>
    <w:rsid w:val="002C53C2"/>
    <w:rsid w:val="002C5520"/>
    <w:rsid w:val="002C58A0"/>
    <w:rsid w:val="002C5AC8"/>
    <w:rsid w:val="002C5B6E"/>
    <w:rsid w:val="002C6B99"/>
    <w:rsid w:val="002C71C1"/>
    <w:rsid w:val="002C7E89"/>
    <w:rsid w:val="002C7F20"/>
    <w:rsid w:val="002D0572"/>
    <w:rsid w:val="002D099A"/>
    <w:rsid w:val="002D12F5"/>
    <w:rsid w:val="002D15A2"/>
    <w:rsid w:val="002D36C7"/>
    <w:rsid w:val="002D3A07"/>
    <w:rsid w:val="002D3CCD"/>
    <w:rsid w:val="002D3FF9"/>
    <w:rsid w:val="002D41A3"/>
    <w:rsid w:val="002D426D"/>
    <w:rsid w:val="002D4348"/>
    <w:rsid w:val="002D50DA"/>
    <w:rsid w:val="002D54C3"/>
    <w:rsid w:val="002D5B01"/>
    <w:rsid w:val="002D6568"/>
    <w:rsid w:val="002D658F"/>
    <w:rsid w:val="002D660B"/>
    <w:rsid w:val="002D6A1D"/>
    <w:rsid w:val="002D7934"/>
    <w:rsid w:val="002D7A72"/>
    <w:rsid w:val="002E0D0A"/>
    <w:rsid w:val="002E0FF6"/>
    <w:rsid w:val="002E1667"/>
    <w:rsid w:val="002E1AFD"/>
    <w:rsid w:val="002E1F9E"/>
    <w:rsid w:val="002E22AD"/>
    <w:rsid w:val="002E2CBE"/>
    <w:rsid w:val="002E2DA1"/>
    <w:rsid w:val="002E2EFF"/>
    <w:rsid w:val="002E2F43"/>
    <w:rsid w:val="002E48C6"/>
    <w:rsid w:val="002E4DBE"/>
    <w:rsid w:val="002E50B3"/>
    <w:rsid w:val="002E511C"/>
    <w:rsid w:val="002E5260"/>
    <w:rsid w:val="002E658B"/>
    <w:rsid w:val="002E6DBB"/>
    <w:rsid w:val="002E6F9A"/>
    <w:rsid w:val="002E7462"/>
    <w:rsid w:val="002E7BE5"/>
    <w:rsid w:val="002F03EF"/>
    <w:rsid w:val="002F0DAF"/>
    <w:rsid w:val="002F0EA1"/>
    <w:rsid w:val="002F1AC0"/>
    <w:rsid w:val="002F1C44"/>
    <w:rsid w:val="002F1CCE"/>
    <w:rsid w:val="002F21D6"/>
    <w:rsid w:val="002F2A9C"/>
    <w:rsid w:val="002F2CD3"/>
    <w:rsid w:val="002F2E27"/>
    <w:rsid w:val="002F2F65"/>
    <w:rsid w:val="002F3223"/>
    <w:rsid w:val="002F372C"/>
    <w:rsid w:val="002F3845"/>
    <w:rsid w:val="002F3874"/>
    <w:rsid w:val="002F3A03"/>
    <w:rsid w:val="002F3ECB"/>
    <w:rsid w:val="002F418B"/>
    <w:rsid w:val="002F4946"/>
    <w:rsid w:val="002F4B88"/>
    <w:rsid w:val="002F50FC"/>
    <w:rsid w:val="002F52A2"/>
    <w:rsid w:val="002F5AC7"/>
    <w:rsid w:val="002F6380"/>
    <w:rsid w:val="002F6537"/>
    <w:rsid w:val="002F6923"/>
    <w:rsid w:val="002F6A6F"/>
    <w:rsid w:val="00300232"/>
    <w:rsid w:val="00300E4E"/>
    <w:rsid w:val="00300F29"/>
    <w:rsid w:val="00300FFB"/>
    <w:rsid w:val="003015C8"/>
    <w:rsid w:val="003019C3"/>
    <w:rsid w:val="0030454F"/>
    <w:rsid w:val="00305D4B"/>
    <w:rsid w:val="00305D70"/>
    <w:rsid w:val="00305F2A"/>
    <w:rsid w:val="00306A06"/>
    <w:rsid w:val="00307022"/>
    <w:rsid w:val="00307A33"/>
    <w:rsid w:val="00310C71"/>
    <w:rsid w:val="003110ED"/>
    <w:rsid w:val="00311614"/>
    <w:rsid w:val="0031191A"/>
    <w:rsid w:val="00311AAD"/>
    <w:rsid w:val="00311C7A"/>
    <w:rsid w:val="003121E9"/>
    <w:rsid w:val="00312498"/>
    <w:rsid w:val="00312BF5"/>
    <w:rsid w:val="00312DFD"/>
    <w:rsid w:val="003134E3"/>
    <w:rsid w:val="00313A6C"/>
    <w:rsid w:val="00313E4B"/>
    <w:rsid w:val="00314303"/>
    <w:rsid w:val="00316452"/>
    <w:rsid w:val="0031685E"/>
    <w:rsid w:val="00316B3F"/>
    <w:rsid w:val="00320636"/>
    <w:rsid w:val="003207C2"/>
    <w:rsid w:val="00320AD7"/>
    <w:rsid w:val="003226DB"/>
    <w:rsid w:val="00323950"/>
    <w:rsid w:val="0032458A"/>
    <w:rsid w:val="00324C1A"/>
    <w:rsid w:val="0032526E"/>
    <w:rsid w:val="00325361"/>
    <w:rsid w:val="00325F6B"/>
    <w:rsid w:val="003273B6"/>
    <w:rsid w:val="003275FE"/>
    <w:rsid w:val="0032760B"/>
    <w:rsid w:val="00330D54"/>
    <w:rsid w:val="00331922"/>
    <w:rsid w:val="0033193D"/>
    <w:rsid w:val="00331AAE"/>
    <w:rsid w:val="00332129"/>
    <w:rsid w:val="0033258C"/>
    <w:rsid w:val="00332708"/>
    <w:rsid w:val="00332F75"/>
    <w:rsid w:val="00333204"/>
    <w:rsid w:val="00333262"/>
    <w:rsid w:val="00333C56"/>
    <w:rsid w:val="00334954"/>
    <w:rsid w:val="00334AC0"/>
    <w:rsid w:val="003351CF"/>
    <w:rsid w:val="00335A12"/>
    <w:rsid w:val="00336A1B"/>
    <w:rsid w:val="00336F6F"/>
    <w:rsid w:val="003373FC"/>
    <w:rsid w:val="003377D3"/>
    <w:rsid w:val="00337C80"/>
    <w:rsid w:val="00340554"/>
    <w:rsid w:val="00340719"/>
    <w:rsid w:val="00340762"/>
    <w:rsid w:val="003408B0"/>
    <w:rsid w:val="003409D2"/>
    <w:rsid w:val="0034188C"/>
    <w:rsid w:val="00341951"/>
    <w:rsid w:val="00341AA3"/>
    <w:rsid w:val="00341CCF"/>
    <w:rsid w:val="003420D6"/>
    <w:rsid w:val="00343CE5"/>
    <w:rsid w:val="00343D26"/>
    <w:rsid w:val="00344770"/>
    <w:rsid w:val="00344F99"/>
    <w:rsid w:val="003456E1"/>
    <w:rsid w:val="00346D5D"/>
    <w:rsid w:val="00347085"/>
    <w:rsid w:val="003509EC"/>
    <w:rsid w:val="00350F13"/>
    <w:rsid w:val="0035104D"/>
    <w:rsid w:val="00351CAD"/>
    <w:rsid w:val="00351FBF"/>
    <w:rsid w:val="003523B0"/>
    <w:rsid w:val="003547D6"/>
    <w:rsid w:val="003552AF"/>
    <w:rsid w:val="00356361"/>
    <w:rsid w:val="003568C2"/>
    <w:rsid w:val="00357BB4"/>
    <w:rsid w:val="003601B0"/>
    <w:rsid w:val="00360ACB"/>
    <w:rsid w:val="00360EFD"/>
    <w:rsid w:val="00361836"/>
    <w:rsid w:val="003619DD"/>
    <w:rsid w:val="00362DD2"/>
    <w:rsid w:val="00363597"/>
    <w:rsid w:val="00364A41"/>
    <w:rsid w:val="00364F1E"/>
    <w:rsid w:val="00364FCE"/>
    <w:rsid w:val="00365BE9"/>
    <w:rsid w:val="00365E4C"/>
    <w:rsid w:val="00366B28"/>
    <w:rsid w:val="00367A9A"/>
    <w:rsid w:val="00367C5A"/>
    <w:rsid w:val="00367E4E"/>
    <w:rsid w:val="00367F7D"/>
    <w:rsid w:val="00370396"/>
    <w:rsid w:val="00370522"/>
    <w:rsid w:val="00370965"/>
    <w:rsid w:val="00371127"/>
    <w:rsid w:val="003714DE"/>
    <w:rsid w:val="00371A0F"/>
    <w:rsid w:val="00371C1E"/>
    <w:rsid w:val="00372176"/>
    <w:rsid w:val="00372E3C"/>
    <w:rsid w:val="003737ED"/>
    <w:rsid w:val="00374476"/>
    <w:rsid w:val="00374A3B"/>
    <w:rsid w:val="00374B9E"/>
    <w:rsid w:val="00374C1C"/>
    <w:rsid w:val="00375FD6"/>
    <w:rsid w:val="003763F8"/>
    <w:rsid w:val="003771DE"/>
    <w:rsid w:val="003774C6"/>
    <w:rsid w:val="00380028"/>
    <w:rsid w:val="00380A13"/>
    <w:rsid w:val="00380D39"/>
    <w:rsid w:val="0038248B"/>
    <w:rsid w:val="00383318"/>
    <w:rsid w:val="00383C47"/>
    <w:rsid w:val="00383D16"/>
    <w:rsid w:val="00384239"/>
    <w:rsid w:val="0038475F"/>
    <w:rsid w:val="00384C2A"/>
    <w:rsid w:val="003862AF"/>
    <w:rsid w:val="00386575"/>
    <w:rsid w:val="0039047A"/>
    <w:rsid w:val="003912D8"/>
    <w:rsid w:val="00391310"/>
    <w:rsid w:val="003919EC"/>
    <w:rsid w:val="00391BEC"/>
    <w:rsid w:val="003925A9"/>
    <w:rsid w:val="0039364B"/>
    <w:rsid w:val="00393881"/>
    <w:rsid w:val="00393F49"/>
    <w:rsid w:val="003950D8"/>
    <w:rsid w:val="0039515B"/>
    <w:rsid w:val="00395800"/>
    <w:rsid w:val="00396D86"/>
    <w:rsid w:val="00397224"/>
    <w:rsid w:val="003976F0"/>
    <w:rsid w:val="003A0397"/>
    <w:rsid w:val="003A05D4"/>
    <w:rsid w:val="003A1406"/>
    <w:rsid w:val="003A1943"/>
    <w:rsid w:val="003A1A30"/>
    <w:rsid w:val="003A31D8"/>
    <w:rsid w:val="003A396B"/>
    <w:rsid w:val="003A3E4E"/>
    <w:rsid w:val="003A4BC9"/>
    <w:rsid w:val="003A4BFA"/>
    <w:rsid w:val="003A4E3E"/>
    <w:rsid w:val="003A662F"/>
    <w:rsid w:val="003A6742"/>
    <w:rsid w:val="003A7158"/>
    <w:rsid w:val="003A7261"/>
    <w:rsid w:val="003A780D"/>
    <w:rsid w:val="003A7890"/>
    <w:rsid w:val="003A7AE0"/>
    <w:rsid w:val="003A7FB1"/>
    <w:rsid w:val="003B082A"/>
    <w:rsid w:val="003B08A1"/>
    <w:rsid w:val="003B0967"/>
    <w:rsid w:val="003B2A99"/>
    <w:rsid w:val="003B2DC8"/>
    <w:rsid w:val="003B3022"/>
    <w:rsid w:val="003B38C7"/>
    <w:rsid w:val="003B40B3"/>
    <w:rsid w:val="003B40EF"/>
    <w:rsid w:val="003B4164"/>
    <w:rsid w:val="003B5066"/>
    <w:rsid w:val="003B5111"/>
    <w:rsid w:val="003B6F4B"/>
    <w:rsid w:val="003C0B56"/>
    <w:rsid w:val="003C0D1A"/>
    <w:rsid w:val="003C0FDE"/>
    <w:rsid w:val="003C186F"/>
    <w:rsid w:val="003C1C73"/>
    <w:rsid w:val="003C2AF7"/>
    <w:rsid w:val="003C2DFC"/>
    <w:rsid w:val="003C302F"/>
    <w:rsid w:val="003C390C"/>
    <w:rsid w:val="003C3AE3"/>
    <w:rsid w:val="003C3B28"/>
    <w:rsid w:val="003C3D35"/>
    <w:rsid w:val="003C435A"/>
    <w:rsid w:val="003C436C"/>
    <w:rsid w:val="003C44F0"/>
    <w:rsid w:val="003C4C27"/>
    <w:rsid w:val="003C5166"/>
    <w:rsid w:val="003C5675"/>
    <w:rsid w:val="003C69CF"/>
    <w:rsid w:val="003C70E1"/>
    <w:rsid w:val="003C7BB9"/>
    <w:rsid w:val="003D0A04"/>
    <w:rsid w:val="003D10F0"/>
    <w:rsid w:val="003D1F73"/>
    <w:rsid w:val="003D2F8C"/>
    <w:rsid w:val="003D31E9"/>
    <w:rsid w:val="003D38B6"/>
    <w:rsid w:val="003D3FC0"/>
    <w:rsid w:val="003D44A2"/>
    <w:rsid w:val="003D4B4A"/>
    <w:rsid w:val="003D4F90"/>
    <w:rsid w:val="003D599C"/>
    <w:rsid w:val="003D6219"/>
    <w:rsid w:val="003D671D"/>
    <w:rsid w:val="003D6813"/>
    <w:rsid w:val="003D6989"/>
    <w:rsid w:val="003E0F43"/>
    <w:rsid w:val="003E1B00"/>
    <w:rsid w:val="003E1C33"/>
    <w:rsid w:val="003E1C3F"/>
    <w:rsid w:val="003E1DDF"/>
    <w:rsid w:val="003E1E30"/>
    <w:rsid w:val="003E216E"/>
    <w:rsid w:val="003E26DC"/>
    <w:rsid w:val="003E26E5"/>
    <w:rsid w:val="003E3AB9"/>
    <w:rsid w:val="003E4DC3"/>
    <w:rsid w:val="003E519C"/>
    <w:rsid w:val="003E5D53"/>
    <w:rsid w:val="003E5E16"/>
    <w:rsid w:val="003E7014"/>
    <w:rsid w:val="003F0306"/>
    <w:rsid w:val="003F0C19"/>
    <w:rsid w:val="003F0D48"/>
    <w:rsid w:val="003F16F1"/>
    <w:rsid w:val="003F252D"/>
    <w:rsid w:val="003F25EE"/>
    <w:rsid w:val="003F2970"/>
    <w:rsid w:val="003F2C10"/>
    <w:rsid w:val="003F47E1"/>
    <w:rsid w:val="003F49E4"/>
    <w:rsid w:val="003F4A57"/>
    <w:rsid w:val="003F4B09"/>
    <w:rsid w:val="003F5C64"/>
    <w:rsid w:val="003F61E5"/>
    <w:rsid w:val="003F6D53"/>
    <w:rsid w:val="003F779F"/>
    <w:rsid w:val="00400B80"/>
    <w:rsid w:val="0040163C"/>
    <w:rsid w:val="00401EDD"/>
    <w:rsid w:val="00402596"/>
    <w:rsid w:val="00402B7D"/>
    <w:rsid w:val="0040447D"/>
    <w:rsid w:val="004046AE"/>
    <w:rsid w:val="00404F30"/>
    <w:rsid w:val="0040509F"/>
    <w:rsid w:val="00405EBA"/>
    <w:rsid w:val="00406195"/>
    <w:rsid w:val="0040627B"/>
    <w:rsid w:val="00406AB1"/>
    <w:rsid w:val="00406AEB"/>
    <w:rsid w:val="00407163"/>
    <w:rsid w:val="0041039E"/>
    <w:rsid w:val="004104CB"/>
    <w:rsid w:val="004105CD"/>
    <w:rsid w:val="004108BA"/>
    <w:rsid w:val="00410F09"/>
    <w:rsid w:val="004122F0"/>
    <w:rsid w:val="004137A2"/>
    <w:rsid w:val="00414A65"/>
    <w:rsid w:val="00414CEB"/>
    <w:rsid w:val="004155F2"/>
    <w:rsid w:val="00415D4C"/>
    <w:rsid w:val="00416350"/>
    <w:rsid w:val="0042027C"/>
    <w:rsid w:val="004209AD"/>
    <w:rsid w:val="00421847"/>
    <w:rsid w:val="00421A41"/>
    <w:rsid w:val="00423B21"/>
    <w:rsid w:val="00424E93"/>
    <w:rsid w:val="0042549C"/>
    <w:rsid w:val="004258C8"/>
    <w:rsid w:val="00425ADA"/>
    <w:rsid w:val="00426019"/>
    <w:rsid w:val="00427198"/>
    <w:rsid w:val="00430B70"/>
    <w:rsid w:val="00430F28"/>
    <w:rsid w:val="00431270"/>
    <w:rsid w:val="00431303"/>
    <w:rsid w:val="00431DF7"/>
    <w:rsid w:val="00431E1F"/>
    <w:rsid w:val="004321BA"/>
    <w:rsid w:val="004324C8"/>
    <w:rsid w:val="00432C82"/>
    <w:rsid w:val="0043341B"/>
    <w:rsid w:val="00433E2A"/>
    <w:rsid w:val="00434448"/>
    <w:rsid w:val="00434CA1"/>
    <w:rsid w:val="00435202"/>
    <w:rsid w:val="0043596D"/>
    <w:rsid w:val="0043622F"/>
    <w:rsid w:val="00436464"/>
    <w:rsid w:val="004365AE"/>
    <w:rsid w:val="00436FD3"/>
    <w:rsid w:val="00437C58"/>
    <w:rsid w:val="00437D88"/>
    <w:rsid w:val="00440801"/>
    <w:rsid w:val="004410A0"/>
    <w:rsid w:val="00441840"/>
    <w:rsid w:val="00441C0C"/>
    <w:rsid w:val="00441C6F"/>
    <w:rsid w:val="00442467"/>
    <w:rsid w:val="0044376F"/>
    <w:rsid w:val="00443B3F"/>
    <w:rsid w:val="00444AE5"/>
    <w:rsid w:val="004456F6"/>
    <w:rsid w:val="00445A2E"/>
    <w:rsid w:val="00445C9C"/>
    <w:rsid w:val="0044680D"/>
    <w:rsid w:val="00446B58"/>
    <w:rsid w:val="00450AE0"/>
    <w:rsid w:val="004510E6"/>
    <w:rsid w:val="004525A2"/>
    <w:rsid w:val="0045286D"/>
    <w:rsid w:val="00452CFD"/>
    <w:rsid w:val="0045373E"/>
    <w:rsid w:val="004537B4"/>
    <w:rsid w:val="00453EE6"/>
    <w:rsid w:val="004540E4"/>
    <w:rsid w:val="00454746"/>
    <w:rsid w:val="00454759"/>
    <w:rsid w:val="00454BCB"/>
    <w:rsid w:val="00454D82"/>
    <w:rsid w:val="0045557A"/>
    <w:rsid w:val="0045587D"/>
    <w:rsid w:val="00456082"/>
    <w:rsid w:val="004605CC"/>
    <w:rsid w:val="00460D36"/>
    <w:rsid w:val="00461498"/>
    <w:rsid w:val="004614E5"/>
    <w:rsid w:val="0046271C"/>
    <w:rsid w:val="00462D2A"/>
    <w:rsid w:val="0046391D"/>
    <w:rsid w:val="004640D6"/>
    <w:rsid w:val="004640F9"/>
    <w:rsid w:val="00464692"/>
    <w:rsid w:val="004658EC"/>
    <w:rsid w:val="004659B4"/>
    <w:rsid w:val="00465EC4"/>
    <w:rsid w:val="0046664B"/>
    <w:rsid w:val="00467439"/>
    <w:rsid w:val="004675C8"/>
    <w:rsid w:val="004675D8"/>
    <w:rsid w:val="00467D11"/>
    <w:rsid w:val="0047040B"/>
    <w:rsid w:val="0047099E"/>
    <w:rsid w:val="00470A4A"/>
    <w:rsid w:val="004711E2"/>
    <w:rsid w:val="004713A2"/>
    <w:rsid w:val="004716EA"/>
    <w:rsid w:val="004718C0"/>
    <w:rsid w:val="0047192A"/>
    <w:rsid w:val="004724DB"/>
    <w:rsid w:val="00472F14"/>
    <w:rsid w:val="0047334E"/>
    <w:rsid w:val="00473805"/>
    <w:rsid w:val="00473F73"/>
    <w:rsid w:val="00474DE7"/>
    <w:rsid w:val="00476329"/>
    <w:rsid w:val="0047693E"/>
    <w:rsid w:val="004769E0"/>
    <w:rsid w:val="0047703A"/>
    <w:rsid w:val="0047764B"/>
    <w:rsid w:val="004801DF"/>
    <w:rsid w:val="00480820"/>
    <w:rsid w:val="0048109D"/>
    <w:rsid w:val="004818CB"/>
    <w:rsid w:val="00481D14"/>
    <w:rsid w:val="00481D2A"/>
    <w:rsid w:val="0048218D"/>
    <w:rsid w:val="00482DA3"/>
    <w:rsid w:val="00482ED2"/>
    <w:rsid w:val="0048314A"/>
    <w:rsid w:val="004835E3"/>
    <w:rsid w:val="00483884"/>
    <w:rsid w:val="00483E37"/>
    <w:rsid w:val="0048447C"/>
    <w:rsid w:val="0048469B"/>
    <w:rsid w:val="0048555A"/>
    <w:rsid w:val="00486302"/>
    <w:rsid w:val="0048662B"/>
    <w:rsid w:val="00486881"/>
    <w:rsid w:val="004871A5"/>
    <w:rsid w:val="00487AD5"/>
    <w:rsid w:val="004901F4"/>
    <w:rsid w:val="004901F5"/>
    <w:rsid w:val="00490CC2"/>
    <w:rsid w:val="00490CCF"/>
    <w:rsid w:val="00491155"/>
    <w:rsid w:val="00492989"/>
    <w:rsid w:val="00492ED6"/>
    <w:rsid w:val="004930A3"/>
    <w:rsid w:val="004936FB"/>
    <w:rsid w:val="00493C81"/>
    <w:rsid w:val="004941AA"/>
    <w:rsid w:val="004944E0"/>
    <w:rsid w:val="004949D8"/>
    <w:rsid w:val="00494E0E"/>
    <w:rsid w:val="0049530A"/>
    <w:rsid w:val="004955A0"/>
    <w:rsid w:val="00496097"/>
    <w:rsid w:val="004960AF"/>
    <w:rsid w:val="0049649D"/>
    <w:rsid w:val="0049649E"/>
    <w:rsid w:val="004975B2"/>
    <w:rsid w:val="004A0C54"/>
    <w:rsid w:val="004A0CE8"/>
    <w:rsid w:val="004A1C1E"/>
    <w:rsid w:val="004A1CF0"/>
    <w:rsid w:val="004A1E87"/>
    <w:rsid w:val="004A22F5"/>
    <w:rsid w:val="004A2DE3"/>
    <w:rsid w:val="004A3217"/>
    <w:rsid w:val="004A3D7B"/>
    <w:rsid w:val="004A4102"/>
    <w:rsid w:val="004A489F"/>
    <w:rsid w:val="004A4BB2"/>
    <w:rsid w:val="004A4BD0"/>
    <w:rsid w:val="004A4D45"/>
    <w:rsid w:val="004A631C"/>
    <w:rsid w:val="004A6511"/>
    <w:rsid w:val="004A6E4D"/>
    <w:rsid w:val="004A6EA5"/>
    <w:rsid w:val="004A7587"/>
    <w:rsid w:val="004B01F8"/>
    <w:rsid w:val="004B0C7B"/>
    <w:rsid w:val="004B1429"/>
    <w:rsid w:val="004B19C0"/>
    <w:rsid w:val="004B2AD0"/>
    <w:rsid w:val="004B2E4B"/>
    <w:rsid w:val="004B300A"/>
    <w:rsid w:val="004B37EC"/>
    <w:rsid w:val="004B3B89"/>
    <w:rsid w:val="004B3CFD"/>
    <w:rsid w:val="004B5BFD"/>
    <w:rsid w:val="004B611C"/>
    <w:rsid w:val="004B74D4"/>
    <w:rsid w:val="004B7764"/>
    <w:rsid w:val="004B79D2"/>
    <w:rsid w:val="004C0068"/>
    <w:rsid w:val="004C020B"/>
    <w:rsid w:val="004C07F9"/>
    <w:rsid w:val="004C0BF4"/>
    <w:rsid w:val="004C0ED4"/>
    <w:rsid w:val="004C0F3C"/>
    <w:rsid w:val="004C1086"/>
    <w:rsid w:val="004C1420"/>
    <w:rsid w:val="004C1AED"/>
    <w:rsid w:val="004C1B56"/>
    <w:rsid w:val="004C2846"/>
    <w:rsid w:val="004C2E4E"/>
    <w:rsid w:val="004C4838"/>
    <w:rsid w:val="004C4C58"/>
    <w:rsid w:val="004C4FC3"/>
    <w:rsid w:val="004C5C4D"/>
    <w:rsid w:val="004C5ED2"/>
    <w:rsid w:val="004C6699"/>
    <w:rsid w:val="004C6BA3"/>
    <w:rsid w:val="004C7125"/>
    <w:rsid w:val="004C7BF5"/>
    <w:rsid w:val="004C7C8F"/>
    <w:rsid w:val="004D0008"/>
    <w:rsid w:val="004D0156"/>
    <w:rsid w:val="004D031E"/>
    <w:rsid w:val="004D05C9"/>
    <w:rsid w:val="004D089C"/>
    <w:rsid w:val="004D0F73"/>
    <w:rsid w:val="004D1B35"/>
    <w:rsid w:val="004D1E8D"/>
    <w:rsid w:val="004D1FB5"/>
    <w:rsid w:val="004D20C0"/>
    <w:rsid w:val="004D20DB"/>
    <w:rsid w:val="004D25FB"/>
    <w:rsid w:val="004D3338"/>
    <w:rsid w:val="004D3412"/>
    <w:rsid w:val="004D34BB"/>
    <w:rsid w:val="004D3791"/>
    <w:rsid w:val="004D41EB"/>
    <w:rsid w:val="004D432A"/>
    <w:rsid w:val="004D4C06"/>
    <w:rsid w:val="004D5224"/>
    <w:rsid w:val="004D543A"/>
    <w:rsid w:val="004D5A62"/>
    <w:rsid w:val="004D5E0D"/>
    <w:rsid w:val="004D5F0F"/>
    <w:rsid w:val="004D6127"/>
    <w:rsid w:val="004D6447"/>
    <w:rsid w:val="004D6532"/>
    <w:rsid w:val="004D70E4"/>
    <w:rsid w:val="004D7B44"/>
    <w:rsid w:val="004D7D46"/>
    <w:rsid w:val="004E0130"/>
    <w:rsid w:val="004E0BFC"/>
    <w:rsid w:val="004E0E59"/>
    <w:rsid w:val="004E11A9"/>
    <w:rsid w:val="004E1401"/>
    <w:rsid w:val="004E1567"/>
    <w:rsid w:val="004E2748"/>
    <w:rsid w:val="004E278F"/>
    <w:rsid w:val="004E2E73"/>
    <w:rsid w:val="004E2EEF"/>
    <w:rsid w:val="004E3523"/>
    <w:rsid w:val="004E36CA"/>
    <w:rsid w:val="004E38B4"/>
    <w:rsid w:val="004E3D37"/>
    <w:rsid w:val="004E429D"/>
    <w:rsid w:val="004E743F"/>
    <w:rsid w:val="004E7472"/>
    <w:rsid w:val="004E7DC3"/>
    <w:rsid w:val="004F022B"/>
    <w:rsid w:val="004F0422"/>
    <w:rsid w:val="004F0DA0"/>
    <w:rsid w:val="004F1368"/>
    <w:rsid w:val="004F18CF"/>
    <w:rsid w:val="004F1E96"/>
    <w:rsid w:val="004F2219"/>
    <w:rsid w:val="004F25BE"/>
    <w:rsid w:val="004F2B99"/>
    <w:rsid w:val="004F5480"/>
    <w:rsid w:val="004F5957"/>
    <w:rsid w:val="004F6A24"/>
    <w:rsid w:val="004F6DCC"/>
    <w:rsid w:val="004F72FF"/>
    <w:rsid w:val="005005BC"/>
    <w:rsid w:val="00500C46"/>
    <w:rsid w:val="00500F26"/>
    <w:rsid w:val="00501BCB"/>
    <w:rsid w:val="00502D90"/>
    <w:rsid w:val="005034EB"/>
    <w:rsid w:val="00503719"/>
    <w:rsid w:val="00503E8C"/>
    <w:rsid w:val="005042EC"/>
    <w:rsid w:val="005043EF"/>
    <w:rsid w:val="00504E76"/>
    <w:rsid w:val="00504FC1"/>
    <w:rsid w:val="005058BC"/>
    <w:rsid w:val="00505F3E"/>
    <w:rsid w:val="00505FD4"/>
    <w:rsid w:val="00506153"/>
    <w:rsid w:val="00506B0A"/>
    <w:rsid w:val="00506D73"/>
    <w:rsid w:val="00507022"/>
    <w:rsid w:val="0050714E"/>
    <w:rsid w:val="005076CB"/>
    <w:rsid w:val="00507CC5"/>
    <w:rsid w:val="00510915"/>
    <w:rsid w:val="00510F81"/>
    <w:rsid w:val="005112F0"/>
    <w:rsid w:val="00511C5A"/>
    <w:rsid w:val="005121DB"/>
    <w:rsid w:val="005126CF"/>
    <w:rsid w:val="0051289A"/>
    <w:rsid w:val="005128A5"/>
    <w:rsid w:val="0051330C"/>
    <w:rsid w:val="0051347C"/>
    <w:rsid w:val="00515973"/>
    <w:rsid w:val="00515EE8"/>
    <w:rsid w:val="005164B9"/>
    <w:rsid w:val="00516801"/>
    <w:rsid w:val="005174B6"/>
    <w:rsid w:val="00517782"/>
    <w:rsid w:val="00517BA3"/>
    <w:rsid w:val="00517D0E"/>
    <w:rsid w:val="0052001F"/>
    <w:rsid w:val="0052047B"/>
    <w:rsid w:val="00520E1E"/>
    <w:rsid w:val="00521185"/>
    <w:rsid w:val="005211CC"/>
    <w:rsid w:val="005217CA"/>
    <w:rsid w:val="005217F1"/>
    <w:rsid w:val="00521D57"/>
    <w:rsid w:val="00521E8F"/>
    <w:rsid w:val="00522614"/>
    <w:rsid w:val="005227BA"/>
    <w:rsid w:val="00524665"/>
    <w:rsid w:val="005248E8"/>
    <w:rsid w:val="005249C5"/>
    <w:rsid w:val="00525CA3"/>
    <w:rsid w:val="00526DC3"/>
    <w:rsid w:val="0052733C"/>
    <w:rsid w:val="00527A11"/>
    <w:rsid w:val="00527A9E"/>
    <w:rsid w:val="005303F0"/>
    <w:rsid w:val="00530955"/>
    <w:rsid w:val="00530BFC"/>
    <w:rsid w:val="00531943"/>
    <w:rsid w:val="005320DC"/>
    <w:rsid w:val="00532720"/>
    <w:rsid w:val="00532904"/>
    <w:rsid w:val="00532EEF"/>
    <w:rsid w:val="005334AF"/>
    <w:rsid w:val="0053382F"/>
    <w:rsid w:val="00535192"/>
    <w:rsid w:val="00535335"/>
    <w:rsid w:val="00535ADB"/>
    <w:rsid w:val="00535FDA"/>
    <w:rsid w:val="0053619C"/>
    <w:rsid w:val="00536329"/>
    <w:rsid w:val="0053652B"/>
    <w:rsid w:val="00536F4A"/>
    <w:rsid w:val="005371BC"/>
    <w:rsid w:val="00537335"/>
    <w:rsid w:val="00537D92"/>
    <w:rsid w:val="00537E65"/>
    <w:rsid w:val="00540D6A"/>
    <w:rsid w:val="005411C6"/>
    <w:rsid w:val="005415DB"/>
    <w:rsid w:val="00541909"/>
    <w:rsid w:val="00541E3B"/>
    <w:rsid w:val="00542219"/>
    <w:rsid w:val="00542B98"/>
    <w:rsid w:val="005431B0"/>
    <w:rsid w:val="0054353A"/>
    <w:rsid w:val="0054407F"/>
    <w:rsid w:val="005442E9"/>
    <w:rsid w:val="00544789"/>
    <w:rsid w:val="005453D5"/>
    <w:rsid w:val="00545934"/>
    <w:rsid w:val="00545C0C"/>
    <w:rsid w:val="00546490"/>
    <w:rsid w:val="00546AE5"/>
    <w:rsid w:val="00546D23"/>
    <w:rsid w:val="00547239"/>
    <w:rsid w:val="0054796F"/>
    <w:rsid w:val="00547ACE"/>
    <w:rsid w:val="00550EBD"/>
    <w:rsid w:val="00551374"/>
    <w:rsid w:val="0055281B"/>
    <w:rsid w:val="00553080"/>
    <w:rsid w:val="00553231"/>
    <w:rsid w:val="00553A94"/>
    <w:rsid w:val="00554181"/>
    <w:rsid w:val="005545A2"/>
    <w:rsid w:val="00554ED4"/>
    <w:rsid w:val="00555C29"/>
    <w:rsid w:val="00555F5F"/>
    <w:rsid w:val="005569DD"/>
    <w:rsid w:val="00556BC4"/>
    <w:rsid w:val="00557000"/>
    <w:rsid w:val="00557C73"/>
    <w:rsid w:val="00560029"/>
    <w:rsid w:val="00560701"/>
    <w:rsid w:val="005629BF"/>
    <w:rsid w:val="00562A3B"/>
    <w:rsid w:val="00562CA0"/>
    <w:rsid w:val="00563865"/>
    <w:rsid w:val="00563954"/>
    <w:rsid w:val="005654E3"/>
    <w:rsid w:val="0056558E"/>
    <w:rsid w:val="0056728F"/>
    <w:rsid w:val="00567379"/>
    <w:rsid w:val="00567A0A"/>
    <w:rsid w:val="0057066C"/>
    <w:rsid w:val="00570BAB"/>
    <w:rsid w:val="00571740"/>
    <w:rsid w:val="00571C76"/>
    <w:rsid w:val="00571DAC"/>
    <w:rsid w:val="005724E8"/>
    <w:rsid w:val="0057456E"/>
    <w:rsid w:val="00575504"/>
    <w:rsid w:val="00575F70"/>
    <w:rsid w:val="00576166"/>
    <w:rsid w:val="0057773A"/>
    <w:rsid w:val="00577AD0"/>
    <w:rsid w:val="00580151"/>
    <w:rsid w:val="00580920"/>
    <w:rsid w:val="00580CFB"/>
    <w:rsid w:val="00581A8D"/>
    <w:rsid w:val="0058240E"/>
    <w:rsid w:val="0058282A"/>
    <w:rsid w:val="00583320"/>
    <w:rsid w:val="0058364D"/>
    <w:rsid w:val="005838AD"/>
    <w:rsid w:val="005838DA"/>
    <w:rsid w:val="00584433"/>
    <w:rsid w:val="0058446D"/>
    <w:rsid w:val="00585371"/>
    <w:rsid w:val="005856A6"/>
    <w:rsid w:val="00585FE3"/>
    <w:rsid w:val="005861F3"/>
    <w:rsid w:val="00586489"/>
    <w:rsid w:val="00586B94"/>
    <w:rsid w:val="00590D97"/>
    <w:rsid w:val="00590EB5"/>
    <w:rsid w:val="00591185"/>
    <w:rsid w:val="00591B1C"/>
    <w:rsid w:val="00591FD1"/>
    <w:rsid w:val="00592796"/>
    <w:rsid w:val="00596716"/>
    <w:rsid w:val="0059688D"/>
    <w:rsid w:val="00596A67"/>
    <w:rsid w:val="00596AC6"/>
    <w:rsid w:val="005971DA"/>
    <w:rsid w:val="00597419"/>
    <w:rsid w:val="005A0428"/>
    <w:rsid w:val="005A0B5E"/>
    <w:rsid w:val="005A1BEC"/>
    <w:rsid w:val="005A1DC7"/>
    <w:rsid w:val="005A1E0B"/>
    <w:rsid w:val="005A1F8A"/>
    <w:rsid w:val="005A284A"/>
    <w:rsid w:val="005A38A6"/>
    <w:rsid w:val="005A3B45"/>
    <w:rsid w:val="005A3CA1"/>
    <w:rsid w:val="005A4277"/>
    <w:rsid w:val="005A4EFB"/>
    <w:rsid w:val="005A53AD"/>
    <w:rsid w:val="005A5B92"/>
    <w:rsid w:val="005A5DFF"/>
    <w:rsid w:val="005A5EBC"/>
    <w:rsid w:val="005A6A88"/>
    <w:rsid w:val="005A6E6E"/>
    <w:rsid w:val="005A714B"/>
    <w:rsid w:val="005A78CA"/>
    <w:rsid w:val="005A7A7A"/>
    <w:rsid w:val="005B092C"/>
    <w:rsid w:val="005B13F1"/>
    <w:rsid w:val="005B175A"/>
    <w:rsid w:val="005B1937"/>
    <w:rsid w:val="005B199C"/>
    <w:rsid w:val="005B1BB4"/>
    <w:rsid w:val="005B1E1A"/>
    <w:rsid w:val="005B2BC1"/>
    <w:rsid w:val="005B2CC7"/>
    <w:rsid w:val="005B3527"/>
    <w:rsid w:val="005B379E"/>
    <w:rsid w:val="005B388A"/>
    <w:rsid w:val="005B3F4E"/>
    <w:rsid w:val="005B4371"/>
    <w:rsid w:val="005B4899"/>
    <w:rsid w:val="005B583B"/>
    <w:rsid w:val="005B6245"/>
    <w:rsid w:val="005B64B4"/>
    <w:rsid w:val="005B66E3"/>
    <w:rsid w:val="005B69E2"/>
    <w:rsid w:val="005B74F3"/>
    <w:rsid w:val="005B76C6"/>
    <w:rsid w:val="005B7C03"/>
    <w:rsid w:val="005C02F4"/>
    <w:rsid w:val="005C06F6"/>
    <w:rsid w:val="005C11CB"/>
    <w:rsid w:val="005C1924"/>
    <w:rsid w:val="005C250A"/>
    <w:rsid w:val="005C28B7"/>
    <w:rsid w:val="005C2AB1"/>
    <w:rsid w:val="005C2AC1"/>
    <w:rsid w:val="005C2C8F"/>
    <w:rsid w:val="005C3228"/>
    <w:rsid w:val="005C3629"/>
    <w:rsid w:val="005C3B61"/>
    <w:rsid w:val="005C3BD4"/>
    <w:rsid w:val="005C42E5"/>
    <w:rsid w:val="005C5C12"/>
    <w:rsid w:val="005C6915"/>
    <w:rsid w:val="005C6D2F"/>
    <w:rsid w:val="005C711B"/>
    <w:rsid w:val="005C78B4"/>
    <w:rsid w:val="005C7A02"/>
    <w:rsid w:val="005C7CD2"/>
    <w:rsid w:val="005D01FB"/>
    <w:rsid w:val="005D02D7"/>
    <w:rsid w:val="005D037E"/>
    <w:rsid w:val="005D1B89"/>
    <w:rsid w:val="005D2031"/>
    <w:rsid w:val="005D3143"/>
    <w:rsid w:val="005D315B"/>
    <w:rsid w:val="005D3AC5"/>
    <w:rsid w:val="005D52DF"/>
    <w:rsid w:val="005D61C2"/>
    <w:rsid w:val="005D6E94"/>
    <w:rsid w:val="005E00A3"/>
    <w:rsid w:val="005E0693"/>
    <w:rsid w:val="005E1671"/>
    <w:rsid w:val="005E1677"/>
    <w:rsid w:val="005E1DF0"/>
    <w:rsid w:val="005E2124"/>
    <w:rsid w:val="005E2551"/>
    <w:rsid w:val="005E2AA8"/>
    <w:rsid w:val="005E2BDF"/>
    <w:rsid w:val="005E3857"/>
    <w:rsid w:val="005E3E2D"/>
    <w:rsid w:val="005E4324"/>
    <w:rsid w:val="005E435F"/>
    <w:rsid w:val="005E4DB8"/>
    <w:rsid w:val="005E50E5"/>
    <w:rsid w:val="005E5800"/>
    <w:rsid w:val="005E5BFF"/>
    <w:rsid w:val="005E702E"/>
    <w:rsid w:val="005F123A"/>
    <w:rsid w:val="005F1281"/>
    <w:rsid w:val="005F2D8F"/>
    <w:rsid w:val="005F43BB"/>
    <w:rsid w:val="005F4472"/>
    <w:rsid w:val="005F482F"/>
    <w:rsid w:val="005F4B16"/>
    <w:rsid w:val="005F5EF1"/>
    <w:rsid w:val="005F69A8"/>
    <w:rsid w:val="005F6A21"/>
    <w:rsid w:val="005F6AD1"/>
    <w:rsid w:val="005F6EC6"/>
    <w:rsid w:val="005F7855"/>
    <w:rsid w:val="00600AB6"/>
    <w:rsid w:val="00601B8D"/>
    <w:rsid w:val="00602BAC"/>
    <w:rsid w:val="00602BD6"/>
    <w:rsid w:val="006033BD"/>
    <w:rsid w:val="0060351A"/>
    <w:rsid w:val="00604604"/>
    <w:rsid w:val="00604648"/>
    <w:rsid w:val="00604741"/>
    <w:rsid w:val="00606CD5"/>
    <w:rsid w:val="006075DC"/>
    <w:rsid w:val="00610478"/>
    <w:rsid w:val="00610A5B"/>
    <w:rsid w:val="00611264"/>
    <w:rsid w:val="0061146C"/>
    <w:rsid w:val="006119A1"/>
    <w:rsid w:val="006128CD"/>
    <w:rsid w:val="00612968"/>
    <w:rsid w:val="006135A0"/>
    <w:rsid w:val="006148A1"/>
    <w:rsid w:val="00614C10"/>
    <w:rsid w:val="006154A0"/>
    <w:rsid w:val="006155AD"/>
    <w:rsid w:val="00615A05"/>
    <w:rsid w:val="00616CDC"/>
    <w:rsid w:val="006172AE"/>
    <w:rsid w:val="0062034B"/>
    <w:rsid w:val="006204B9"/>
    <w:rsid w:val="0062070E"/>
    <w:rsid w:val="00621487"/>
    <w:rsid w:val="006216E0"/>
    <w:rsid w:val="006226D3"/>
    <w:rsid w:val="00623BDE"/>
    <w:rsid w:val="00624550"/>
    <w:rsid w:val="00624C60"/>
    <w:rsid w:val="00624DA9"/>
    <w:rsid w:val="0062676A"/>
    <w:rsid w:val="00626B90"/>
    <w:rsid w:val="00627040"/>
    <w:rsid w:val="00627BDA"/>
    <w:rsid w:val="00630A8B"/>
    <w:rsid w:val="00630FD7"/>
    <w:rsid w:val="00631555"/>
    <w:rsid w:val="00631861"/>
    <w:rsid w:val="00631B7F"/>
    <w:rsid w:val="00632442"/>
    <w:rsid w:val="0063343E"/>
    <w:rsid w:val="006339AA"/>
    <w:rsid w:val="0063449D"/>
    <w:rsid w:val="006344D5"/>
    <w:rsid w:val="00634640"/>
    <w:rsid w:val="00634A9D"/>
    <w:rsid w:val="00635284"/>
    <w:rsid w:val="006358D2"/>
    <w:rsid w:val="006358E5"/>
    <w:rsid w:val="00636945"/>
    <w:rsid w:val="00636AA8"/>
    <w:rsid w:val="0063718D"/>
    <w:rsid w:val="00637190"/>
    <w:rsid w:val="00637BD1"/>
    <w:rsid w:val="00637E8B"/>
    <w:rsid w:val="006402BA"/>
    <w:rsid w:val="00640DB2"/>
    <w:rsid w:val="00641BB7"/>
    <w:rsid w:val="00642515"/>
    <w:rsid w:val="0064262A"/>
    <w:rsid w:val="00642AAB"/>
    <w:rsid w:val="00644A63"/>
    <w:rsid w:val="00644A87"/>
    <w:rsid w:val="00644BB9"/>
    <w:rsid w:val="00645E2C"/>
    <w:rsid w:val="006465C2"/>
    <w:rsid w:val="006466F8"/>
    <w:rsid w:val="00646DFC"/>
    <w:rsid w:val="00647BE6"/>
    <w:rsid w:val="00647C15"/>
    <w:rsid w:val="00650098"/>
    <w:rsid w:val="00651354"/>
    <w:rsid w:val="006517DC"/>
    <w:rsid w:val="00651EC5"/>
    <w:rsid w:val="0065235C"/>
    <w:rsid w:val="00652776"/>
    <w:rsid w:val="006528AA"/>
    <w:rsid w:val="0065293D"/>
    <w:rsid w:val="006529D9"/>
    <w:rsid w:val="00652E04"/>
    <w:rsid w:val="00652FF9"/>
    <w:rsid w:val="006535D6"/>
    <w:rsid w:val="00653B0C"/>
    <w:rsid w:val="00653B5B"/>
    <w:rsid w:val="00653ECA"/>
    <w:rsid w:val="00654789"/>
    <w:rsid w:val="00654799"/>
    <w:rsid w:val="00654E62"/>
    <w:rsid w:val="006556A3"/>
    <w:rsid w:val="0065597B"/>
    <w:rsid w:val="0065598B"/>
    <w:rsid w:val="00656C97"/>
    <w:rsid w:val="0066209B"/>
    <w:rsid w:val="006628CF"/>
    <w:rsid w:val="00662933"/>
    <w:rsid w:val="0066297D"/>
    <w:rsid w:val="006636C6"/>
    <w:rsid w:val="00663A14"/>
    <w:rsid w:val="00664931"/>
    <w:rsid w:val="00664EA4"/>
    <w:rsid w:val="0066576B"/>
    <w:rsid w:val="0066597C"/>
    <w:rsid w:val="0066611B"/>
    <w:rsid w:val="00667089"/>
    <w:rsid w:val="00667443"/>
    <w:rsid w:val="0066758F"/>
    <w:rsid w:val="00667772"/>
    <w:rsid w:val="00667CD4"/>
    <w:rsid w:val="00667E04"/>
    <w:rsid w:val="00667FD2"/>
    <w:rsid w:val="00670119"/>
    <w:rsid w:val="00671F31"/>
    <w:rsid w:val="00672DAB"/>
    <w:rsid w:val="00673101"/>
    <w:rsid w:val="006733AE"/>
    <w:rsid w:val="006733B0"/>
    <w:rsid w:val="006736FC"/>
    <w:rsid w:val="00673B6E"/>
    <w:rsid w:val="00673D94"/>
    <w:rsid w:val="0067404C"/>
    <w:rsid w:val="006741B6"/>
    <w:rsid w:val="00675E86"/>
    <w:rsid w:val="00676488"/>
    <w:rsid w:val="0067650A"/>
    <w:rsid w:val="00677B48"/>
    <w:rsid w:val="006805E4"/>
    <w:rsid w:val="0068096D"/>
    <w:rsid w:val="00680B57"/>
    <w:rsid w:val="00681047"/>
    <w:rsid w:val="0068204B"/>
    <w:rsid w:val="00682B36"/>
    <w:rsid w:val="00682DDD"/>
    <w:rsid w:val="006830DB"/>
    <w:rsid w:val="006830E8"/>
    <w:rsid w:val="006831A4"/>
    <w:rsid w:val="006837EA"/>
    <w:rsid w:val="0068582C"/>
    <w:rsid w:val="00685D15"/>
    <w:rsid w:val="00685E0E"/>
    <w:rsid w:val="00685E3A"/>
    <w:rsid w:val="00687360"/>
    <w:rsid w:val="006875E4"/>
    <w:rsid w:val="006876CF"/>
    <w:rsid w:val="00690225"/>
    <w:rsid w:val="00690A50"/>
    <w:rsid w:val="00690C22"/>
    <w:rsid w:val="00690CE5"/>
    <w:rsid w:val="006919B6"/>
    <w:rsid w:val="00691B19"/>
    <w:rsid w:val="00691CC5"/>
    <w:rsid w:val="00692401"/>
    <w:rsid w:val="0069254A"/>
    <w:rsid w:val="00692B62"/>
    <w:rsid w:val="006933E8"/>
    <w:rsid w:val="006936B0"/>
    <w:rsid w:val="006945B5"/>
    <w:rsid w:val="00694B84"/>
    <w:rsid w:val="0069510E"/>
    <w:rsid w:val="00695C21"/>
    <w:rsid w:val="00696107"/>
    <w:rsid w:val="0069616C"/>
    <w:rsid w:val="00696882"/>
    <w:rsid w:val="00696F84"/>
    <w:rsid w:val="006A01D2"/>
    <w:rsid w:val="006A06E1"/>
    <w:rsid w:val="006A11AB"/>
    <w:rsid w:val="006A1430"/>
    <w:rsid w:val="006A169F"/>
    <w:rsid w:val="006A179B"/>
    <w:rsid w:val="006A1C66"/>
    <w:rsid w:val="006A2213"/>
    <w:rsid w:val="006A2EF1"/>
    <w:rsid w:val="006A2FBC"/>
    <w:rsid w:val="006A3620"/>
    <w:rsid w:val="006A3CAF"/>
    <w:rsid w:val="006A4047"/>
    <w:rsid w:val="006A42D9"/>
    <w:rsid w:val="006A48CE"/>
    <w:rsid w:val="006A4B09"/>
    <w:rsid w:val="006A4CE9"/>
    <w:rsid w:val="006A5AE5"/>
    <w:rsid w:val="006A5CA5"/>
    <w:rsid w:val="006A5D2B"/>
    <w:rsid w:val="006A7852"/>
    <w:rsid w:val="006A7A59"/>
    <w:rsid w:val="006A7AF6"/>
    <w:rsid w:val="006A7CE9"/>
    <w:rsid w:val="006B00C1"/>
    <w:rsid w:val="006B1DE3"/>
    <w:rsid w:val="006B2679"/>
    <w:rsid w:val="006B290C"/>
    <w:rsid w:val="006B3B14"/>
    <w:rsid w:val="006B3BBF"/>
    <w:rsid w:val="006B3BF1"/>
    <w:rsid w:val="006B4578"/>
    <w:rsid w:val="006B4A77"/>
    <w:rsid w:val="006B4AE8"/>
    <w:rsid w:val="006B5FA5"/>
    <w:rsid w:val="006B65C5"/>
    <w:rsid w:val="006B661D"/>
    <w:rsid w:val="006B6C8F"/>
    <w:rsid w:val="006B7052"/>
    <w:rsid w:val="006B75C8"/>
    <w:rsid w:val="006B797E"/>
    <w:rsid w:val="006B7F34"/>
    <w:rsid w:val="006C0D50"/>
    <w:rsid w:val="006C1753"/>
    <w:rsid w:val="006C1BCE"/>
    <w:rsid w:val="006C1BF5"/>
    <w:rsid w:val="006C21BA"/>
    <w:rsid w:val="006C23D4"/>
    <w:rsid w:val="006C299F"/>
    <w:rsid w:val="006C34CB"/>
    <w:rsid w:val="006C366E"/>
    <w:rsid w:val="006C4504"/>
    <w:rsid w:val="006C4647"/>
    <w:rsid w:val="006C48FE"/>
    <w:rsid w:val="006C618F"/>
    <w:rsid w:val="006C6731"/>
    <w:rsid w:val="006C75EE"/>
    <w:rsid w:val="006C7CE8"/>
    <w:rsid w:val="006C7D54"/>
    <w:rsid w:val="006D0148"/>
    <w:rsid w:val="006D17D7"/>
    <w:rsid w:val="006D3747"/>
    <w:rsid w:val="006D4785"/>
    <w:rsid w:val="006D4ADE"/>
    <w:rsid w:val="006D5BF3"/>
    <w:rsid w:val="006D60C3"/>
    <w:rsid w:val="006D6356"/>
    <w:rsid w:val="006D64F4"/>
    <w:rsid w:val="006D6944"/>
    <w:rsid w:val="006D6FF8"/>
    <w:rsid w:val="006D75F1"/>
    <w:rsid w:val="006E07F4"/>
    <w:rsid w:val="006E0996"/>
    <w:rsid w:val="006E0ED8"/>
    <w:rsid w:val="006E2785"/>
    <w:rsid w:val="006E32EF"/>
    <w:rsid w:val="006E4923"/>
    <w:rsid w:val="006E4BFA"/>
    <w:rsid w:val="006E5464"/>
    <w:rsid w:val="006E55D3"/>
    <w:rsid w:val="006E763E"/>
    <w:rsid w:val="006E7684"/>
    <w:rsid w:val="006E76DA"/>
    <w:rsid w:val="006E7D7D"/>
    <w:rsid w:val="006E7FA1"/>
    <w:rsid w:val="006F030C"/>
    <w:rsid w:val="006F0A43"/>
    <w:rsid w:val="006F152E"/>
    <w:rsid w:val="006F18B5"/>
    <w:rsid w:val="006F1F5B"/>
    <w:rsid w:val="006F1FE2"/>
    <w:rsid w:val="006F25DA"/>
    <w:rsid w:val="006F28BD"/>
    <w:rsid w:val="006F3065"/>
    <w:rsid w:val="006F44D2"/>
    <w:rsid w:val="006F4524"/>
    <w:rsid w:val="006F550D"/>
    <w:rsid w:val="006F6265"/>
    <w:rsid w:val="006F6763"/>
    <w:rsid w:val="006F6883"/>
    <w:rsid w:val="006F74A0"/>
    <w:rsid w:val="006F7DE3"/>
    <w:rsid w:val="00700787"/>
    <w:rsid w:val="00700BFA"/>
    <w:rsid w:val="007013B9"/>
    <w:rsid w:val="00701A5E"/>
    <w:rsid w:val="00701C79"/>
    <w:rsid w:val="0070269A"/>
    <w:rsid w:val="00702FF2"/>
    <w:rsid w:val="00703670"/>
    <w:rsid w:val="007039EE"/>
    <w:rsid w:val="00703A63"/>
    <w:rsid w:val="00704064"/>
    <w:rsid w:val="007054F1"/>
    <w:rsid w:val="00707548"/>
    <w:rsid w:val="00707928"/>
    <w:rsid w:val="00710213"/>
    <w:rsid w:val="007102F5"/>
    <w:rsid w:val="00711CA0"/>
    <w:rsid w:val="00711FEC"/>
    <w:rsid w:val="00712190"/>
    <w:rsid w:val="00712E46"/>
    <w:rsid w:val="00713184"/>
    <w:rsid w:val="007134C7"/>
    <w:rsid w:val="00713C0B"/>
    <w:rsid w:val="00714D1B"/>
    <w:rsid w:val="007151A9"/>
    <w:rsid w:val="00715280"/>
    <w:rsid w:val="0071591C"/>
    <w:rsid w:val="00715A45"/>
    <w:rsid w:val="00715AD9"/>
    <w:rsid w:val="007160CE"/>
    <w:rsid w:val="00717B08"/>
    <w:rsid w:val="00720528"/>
    <w:rsid w:val="00721481"/>
    <w:rsid w:val="00721908"/>
    <w:rsid w:val="007235B8"/>
    <w:rsid w:val="0072378B"/>
    <w:rsid w:val="00723B92"/>
    <w:rsid w:val="00723C5F"/>
    <w:rsid w:val="0072449C"/>
    <w:rsid w:val="007247A6"/>
    <w:rsid w:val="0072510E"/>
    <w:rsid w:val="00725522"/>
    <w:rsid w:val="0072582A"/>
    <w:rsid w:val="00725B05"/>
    <w:rsid w:val="00725E94"/>
    <w:rsid w:val="00726441"/>
    <w:rsid w:val="007264ED"/>
    <w:rsid w:val="0073007B"/>
    <w:rsid w:val="0073215E"/>
    <w:rsid w:val="00732786"/>
    <w:rsid w:val="0073292E"/>
    <w:rsid w:val="00732B7B"/>
    <w:rsid w:val="00732F64"/>
    <w:rsid w:val="00732FF2"/>
    <w:rsid w:val="00733DB3"/>
    <w:rsid w:val="00733F90"/>
    <w:rsid w:val="00734CF1"/>
    <w:rsid w:val="007366C0"/>
    <w:rsid w:val="0073689C"/>
    <w:rsid w:val="0073697A"/>
    <w:rsid w:val="00736EF2"/>
    <w:rsid w:val="00737720"/>
    <w:rsid w:val="007377F5"/>
    <w:rsid w:val="007379FE"/>
    <w:rsid w:val="007402C9"/>
    <w:rsid w:val="007405EA"/>
    <w:rsid w:val="00740C8A"/>
    <w:rsid w:val="00740EB5"/>
    <w:rsid w:val="00740FE8"/>
    <w:rsid w:val="00741D07"/>
    <w:rsid w:val="007427BF"/>
    <w:rsid w:val="007427C5"/>
    <w:rsid w:val="007445E1"/>
    <w:rsid w:val="00744BE1"/>
    <w:rsid w:val="00745D7A"/>
    <w:rsid w:val="00746870"/>
    <w:rsid w:val="00746E47"/>
    <w:rsid w:val="007470D4"/>
    <w:rsid w:val="00747529"/>
    <w:rsid w:val="00747753"/>
    <w:rsid w:val="00747ADB"/>
    <w:rsid w:val="007505BA"/>
    <w:rsid w:val="00750ED3"/>
    <w:rsid w:val="007510FD"/>
    <w:rsid w:val="007520F3"/>
    <w:rsid w:val="0075232D"/>
    <w:rsid w:val="00752658"/>
    <w:rsid w:val="00752D8C"/>
    <w:rsid w:val="007534C9"/>
    <w:rsid w:val="007535C5"/>
    <w:rsid w:val="0075387B"/>
    <w:rsid w:val="00753F87"/>
    <w:rsid w:val="00754A2B"/>
    <w:rsid w:val="00754B23"/>
    <w:rsid w:val="00755116"/>
    <w:rsid w:val="00756632"/>
    <w:rsid w:val="007566C4"/>
    <w:rsid w:val="007579C6"/>
    <w:rsid w:val="00757A75"/>
    <w:rsid w:val="00757D23"/>
    <w:rsid w:val="00761221"/>
    <w:rsid w:val="0076127A"/>
    <w:rsid w:val="00761F0E"/>
    <w:rsid w:val="00762344"/>
    <w:rsid w:val="007627D6"/>
    <w:rsid w:val="00762C13"/>
    <w:rsid w:val="007631D8"/>
    <w:rsid w:val="00763C30"/>
    <w:rsid w:val="0076464A"/>
    <w:rsid w:val="00765B0A"/>
    <w:rsid w:val="007667A7"/>
    <w:rsid w:val="0076713E"/>
    <w:rsid w:val="00767785"/>
    <w:rsid w:val="00770247"/>
    <w:rsid w:val="00770524"/>
    <w:rsid w:val="007705C2"/>
    <w:rsid w:val="00771870"/>
    <w:rsid w:val="00771E7B"/>
    <w:rsid w:val="0077245A"/>
    <w:rsid w:val="00772780"/>
    <w:rsid w:val="0077309D"/>
    <w:rsid w:val="00773FBC"/>
    <w:rsid w:val="007747DC"/>
    <w:rsid w:val="0077485B"/>
    <w:rsid w:val="00774E68"/>
    <w:rsid w:val="00776010"/>
    <w:rsid w:val="007762E2"/>
    <w:rsid w:val="00776820"/>
    <w:rsid w:val="0077724A"/>
    <w:rsid w:val="00777272"/>
    <w:rsid w:val="0077766A"/>
    <w:rsid w:val="00780EDD"/>
    <w:rsid w:val="00780EF3"/>
    <w:rsid w:val="00781FE3"/>
    <w:rsid w:val="007822EF"/>
    <w:rsid w:val="00782C96"/>
    <w:rsid w:val="00782EA1"/>
    <w:rsid w:val="00783AAE"/>
    <w:rsid w:val="00783C90"/>
    <w:rsid w:val="00783EAD"/>
    <w:rsid w:val="0078431C"/>
    <w:rsid w:val="00784EF3"/>
    <w:rsid w:val="00784FDA"/>
    <w:rsid w:val="00785213"/>
    <w:rsid w:val="00785342"/>
    <w:rsid w:val="00786119"/>
    <w:rsid w:val="007876D3"/>
    <w:rsid w:val="00787E66"/>
    <w:rsid w:val="00787E78"/>
    <w:rsid w:val="00787ED7"/>
    <w:rsid w:val="007905ED"/>
    <w:rsid w:val="00790630"/>
    <w:rsid w:val="00790F86"/>
    <w:rsid w:val="0079194B"/>
    <w:rsid w:val="00791A03"/>
    <w:rsid w:val="00792BDC"/>
    <w:rsid w:val="00793D3E"/>
    <w:rsid w:val="007949F8"/>
    <w:rsid w:val="00794D7F"/>
    <w:rsid w:val="007956AA"/>
    <w:rsid w:val="007957F0"/>
    <w:rsid w:val="0079651B"/>
    <w:rsid w:val="0079670A"/>
    <w:rsid w:val="00796C5B"/>
    <w:rsid w:val="00796D05"/>
    <w:rsid w:val="00796F78"/>
    <w:rsid w:val="00796FEA"/>
    <w:rsid w:val="00797B31"/>
    <w:rsid w:val="00797B74"/>
    <w:rsid w:val="00797BF2"/>
    <w:rsid w:val="007A034C"/>
    <w:rsid w:val="007A0CEC"/>
    <w:rsid w:val="007A1620"/>
    <w:rsid w:val="007A17B8"/>
    <w:rsid w:val="007A268B"/>
    <w:rsid w:val="007A2B0D"/>
    <w:rsid w:val="007A2DC8"/>
    <w:rsid w:val="007A3007"/>
    <w:rsid w:val="007A3473"/>
    <w:rsid w:val="007A410B"/>
    <w:rsid w:val="007A477A"/>
    <w:rsid w:val="007A4BA4"/>
    <w:rsid w:val="007A549B"/>
    <w:rsid w:val="007A6B36"/>
    <w:rsid w:val="007B012D"/>
    <w:rsid w:val="007B0AC6"/>
    <w:rsid w:val="007B0B75"/>
    <w:rsid w:val="007B0BBB"/>
    <w:rsid w:val="007B0D16"/>
    <w:rsid w:val="007B1C7A"/>
    <w:rsid w:val="007B2185"/>
    <w:rsid w:val="007B24B8"/>
    <w:rsid w:val="007B26B9"/>
    <w:rsid w:val="007B298F"/>
    <w:rsid w:val="007B34EE"/>
    <w:rsid w:val="007B3671"/>
    <w:rsid w:val="007B47D7"/>
    <w:rsid w:val="007B4832"/>
    <w:rsid w:val="007B57B0"/>
    <w:rsid w:val="007B6AF6"/>
    <w:rsid w:val="007B6D4C"/>
    <w:rsid w:val="007B745E"/>
    <w:rsid w:val="007B78D2"/>
    <w:rsid w:val="007B7CC8"/>
    <w:rsid w:val="007B7E3C"/>
    <w:rsid w:val="007C03F7"/>
    <w:rsid w:val="007C0FBB"/>
    <w:rsid w:val="007C1043"/>
    <w:rsid w:val="007C1AD3"/>
    <w:rsid w:val="007C1EB1"/>
    <w:rsid w:val="007C35C5"/>
    <w:rsid w:val="007C3BF2"/>
    <w:rsid w:val="007C420C"/>
    <w:rsid w:val="007C4DF8"/>
    <w:rsid w:val="007C542E"/>
    <w:rsid w:val="007C5A47"/>
    <w:rsid w:val="007C5A70"/>
    <w:rsid w:val="007C607D"/>
    <w:rsid w:val="007C6578"/>
    <w:rsid w:val="007D02B2"/>
    <w:rsid w:val="007D0923"/>
    <w:rsid w:val="007D0E1A"/>
    <w:rsid w:val="007D16BD"/>
    <w:rsid w:val="007D1CAC"/>
    <w:rsid w:val="007D207E"/>
    <w:rsid w:val="007D24C5"/>
    <w:rsid w:val="007D2A0F"/>
    <w:rsid w:val="007D39DB"/>
    <w:rsid w:val="007D3E97"/>
    <w:rsid w:val="007D4C1A"/>
    <w:rsid w:val="007D4C2F"/>
    <w:rsid w:val="007D4E17"/>
    <w:rsid w:val="007D5BB6"/>
    <w:rsid w:val="007D60CA"/>
    <w:rsid w:val="007D6361"/>
    <w:rsid w:val="007D7DF1"/>
    <w:rsid w:val="007E0819"/>
    <w:rsid w:val="007E0E17"/>
    <w:rsid w:val="007E0FD9"/>
    <w:rsid w:val="007E1693"/>
    <w:rsid w:val="007E18B2"/>
    <w:rsid w:val="007E1A71"/>
    <w:rsid w:val="007E1AF6"/>
    <w:rsid w:val="007E1C29"/>
    <w:rsid w:val="007E3343"/>
    <w:rsid w:val="007E4042"/>
    <w:rsid w:val="007E46FA"/>
    <w:rsid w:val="007E66E5"/>
    <w:rsid w:val="007E6A42"/>
    <w:rsid w:val="007E7CAA"/>
    <w:rsid w:val="007F04E1"/>
    <w:rsid w:val="007F0680"/>
    <w:rsid w:val="007F1130"/>
    <w:rsid w:val="007F1158"/>
    <w:rsid w:val="007F1298"/>
    <w:rsid w:val="007F1ABB"/>
    <w:rsid w:val="007F25DA"/>
    <w:rsid w:val="007F2C7C"/>
    <w:rsid w:val="007F3183"/>
    <w:rsid w:val="007F3378"/>
    <w:rsid w:val="007F36DE"/>
    <w:rsid w:val="007F39EF"/>
    <w:rsid w:val="007F518A"/>
    <w:rsid w:val="007F5410"/>
    <w:rsid w:val="007F5AD8"/>
    <w:rsid w:val="007F5EFD"/>
    <w:rsid w:val="007F62C5"/>
    <w:rsid w:val="007F65F7"/>
    <w:rsid w:val="00800778"/>
    <w:rsid w:val="00801097"/>
    <w:rsid w:val="0080123E"/>
    <w:rsid w:val="00801B57"/>
    <w:rsid w:val="00801DB7"/>
    <w:rsid w:val="008025BA"/>
    <w:rsid w:val="00802EB8"/>
    <w:rsid w:val="00802F2D"/>
    <w:rsid w:val="0080366B"/>
    <w:rsid w:val="00803773"/>
    <w:rsid w:val="00803A03"/>
    <w:rsid w:val="0080442D"/>
    <w:rsid w:val="00804DB1"/>
    <w:rsid w:val="00805F3C"/>
    <w:rsid w:val="0080678C"/>
    <w:rsid w:val="00806B4A"/>
    <w:rsid w:val="00806BB8"/>
    <w:rsid w:val="00807443"/>
    <w:rsid w:val="00807B1E"/>
    <w:rsid w:val="00807B93"/>
    <w:rsid w:val="00810537"/>
    <w:rsid w:val="0081137C"/>
    <w:rsid w:val="00812BEF"/>
    <w:rsid w:val="008133DA"/>
    <w:rsid w:val="00813405"/>
    <w:rsid w:val="00814D85"/>
    <w:rsid w:val="00814E63"/>
    <w:rsid w:val="00815AF3"/>
    <w:rsid w:val="00815EC7"/>
    <w:rsid w:val="008163B1"/>
    <w:rsid w:val="008178FC"/>
    <w:rsid w:val="00817D90"/>
    <w:rsid w:val="0082009E"/>
    <w:rsid w:val="008200AE"/>
    <w:rsid w:val="0082078D"/>
    <w:rsid w:val="008213BC"/>
    <w:rsid w:val="00821675"/>
    <w:rsid w:val="00821714"/>
    <w:rsid w:val="00822243"/>
    <w:rsid w:val="00822441"/>
    <w:rsid w:val="00822673"/>
    <w:rsid w:val="00823487"/>
    <w:rsid w:val="00823CEE"/>
    <w:rsid w:val="00824BEF"/>
    <w:rsid w:val="00824F3A"/>
    <w:rsid w:val="00824FB5"/>
    <w:rsid w:val="00825225"/>
    <w:rsid w:val="0082559D"/>
    <w:rsid w:val="008257F1"/>
    <w:rsid w:val="00825A06"/>
    <w:rsid w:val="0082690E"/>
    <w:rsid w:val="0082699B"/>
    <w:rsid w:val="00826E28"/>
    <w:rsid w:val="008271FB"/>
    <w:rsid w:val="008276E2"/>
    <w:rsid w:val="0082786A"/>
    <w:rsid w:val="00827935"/>
    <w:rsid w:val="00830069"/>
    <w:rsid w:val="00830462"/>
    <w:rsid w:val="0083061D"/>
    <w:rsid w:val="008306E9"/>
    <w:rsid w:val="008329A9"/>
    <w:rsid w:val="00832E93"/>
    <w:rsid w:val="008332CE"/>
    <w:rsid w:val="00833BFA"/>
    <w:rsid w:val="00835493"/>
    <w:rsid w:val="00835E94"/>
    <w:rsid w:val="008362D9"/>
    <w:rsid w:val="0083630F"/>
    <w:rsid w:val="00836563"/>
    <w:rsid w:val="00836618"/>
    <w:rsid w:val="00836EAC"/>
    <w:rsid w:val="008374B3"/>
    <w:rsid w:val="00837846"/>
    <w:rsid w:val="0084019C"/>
    <w:rsid w:val="00840500"/>
    <w:rsid w:val="00840CB7"/>
    <w:rsid w:val="00840D0D"/>
    <w:rsid w:val="00840D41"/>
    <w:rsid w:val="00840E16"/>
    <w:rsid w:val="0084172A"/>
    <w:rsid w:val="00842E33"/>
    <w:rsid w:val="00842F57"/>
    <w:rsid w:val="00842FC3"/>
    <w:rsid w:val="008445E3"/>
    <w:rsid w:val="008447DF"/>
    <w:rsid w:val="008448B1"/>
    <w:rsid w:val="00845A0F"/>
    <w:rsid w:val="00846A3A"/>
    <w:rsid w:val="00846DBA"/>
    <w:rsid w:val="00846E91"/>
    <w:rsid w:val="008473DE"/>
    <w:rsid w:val="00847A50"/>
    <w:rsid w:val="00847C87"/>
    <w:rsid w:val="00847D9E"/>
    <w:rsid w:val="00850C8A"/>
    <w:rsid w:val="00850CE0"/>
    <w:rsid w:val="008519F5"/>
    <w:rsid w:val="00851EAA"/>
    <w:rsid w:val="00852AEE"/>
    <w:rsid w:val="00852E66"/>
    <w:rsid w:val="008533B7"/>
    <w:rsid w:val="0085437C"/>
    <w:rsid w:val="008549FA"/>
    <w:rsid w:val="00854F62"/>
    <w:rsid w:val="008552CD"/>
    <w:rsid w:val="00855623"/>
    <w:rsid w:val="00856409"/>
    <w:rsid w:val="008565A5"/>
    <w:rsid w:val="00857116"/>
    <w:rsid w:val="00857124"/>
    <w:rsid w:val="008575F0"/>
    <w:rsid w:val="00860BB5"/>
    <w:rsid w:val="00860C6F"/>
    <w:rsid w:val="00861696"/>
    <w:rsid w:val="008620C0"/>
    <w:rsid w:val="00862DEC"/>
    <w:rsid w:val="0086362B"/>
    <w:rsid w:val="00863BC6"/>
    <w:rsid w:val="00863C06"/>
    <w:rsid w:val="00864951"/>
    <w:rsid w:val="00864A05"/>
    <w:rsid w:val="00864FCC"/>
    <w:rsid w:val="00865570"/>
    <w:rsid w:val="008659D0"/>
    <w:rsid w:val="00865ED9"/>
    <w:rsid w:val="00865FC8"/>
    <w:rsid w:val="008668CD"/>
    <w:rsid w:val="00866B84"/>
    <w:rsid w:val="00866C43"/>
    <w:rsid w:val="008671D4"/>
    <w:rsid w:val="0086796D"/>
    <w:rsid w:val="00870D5C"/>
    <w:rsid w:val="008711AE"/>
    <w:rsid w:val="008711BF"/>
    <w:rsid w:val="008720EF"/>
    <w:rsid w:val="008728A7"/>
    <w:rsid w:val="008735B2"/>
    <w:rsid w:val="00873766"/>
    <w:rsid w:val="00873901"/>
    <w:rsid w:val="00873D4F"/>
    <w:rsid w:val="008747BF"/>
    <w:rsid w:val="00875971"/>
    <w:rsid w:val="00876692"/>
    <w:rsid w:val="00876B98"/>
    <w:rsid w:val="00876D5E"/>
    <w:rsid w:val="00877F6A"/>
    <w:rsid w:val="0088136F"/>
    <w:rsid w:val="008816BD"/>
    <w:rsid w:val="008816E1"/>
    <w:rsid w:val="008816E2"/>
    <w:rsid w:val="0088191B"/>
    <w:rsid w:val="00881CBC"/>
    <w:rsid w:val="00882473"/>
    <w:rsid w:val="00882716"/>
    <w:rsid w:val="00882853"/>
    <w:rsid w:val="00882DC7"/>
    <w:rsid w:val="008831F4"/>
    <w:rsid w:val="0088411B"/>
    <w:rsid w:val="00885EE7"/>
    <w:rsid w:val="008874A1"/>
    <w:rsid w:val="00887878"/>
    <w:rsid w:val="00887AEB"/>
    <w:rsid w:val="00890288"/>
    <w:rsid w:val="008903FB"/>
    <w:rsid w:val="00890FEE"/>
    <w:rsid w:val="00891EB1"/>
    <w:rsid w:val="00893305"/>
    <w:rsid w:val="00893606"/>
    <w:rsid w:val="008939D4"/>
    <w:rsid w:val="00894150"/>
    <w:rsid w:val="00894979"/>
    <w:rsid w:val="008949F7"/>
    <w:rsid w:val="00895239"/>
    <w:rsid w:val="00895681"/>
    <w:rsid w:val="008960B3"/>
    <w:rsid w:val="00897CD8"/>
    <w:rsid w:val="008A078C"/>
    <w:rsid w:val="008A1153"/>
    <w:rsid w:val="008A1A4E"/>
    <w:rsid w:val="008A1AC5"/>
    <w:rsid w:val="008A1C79"/>
    <w:rsid w:val="008A1E8E"/>
    <w:rsid w:val="008A3035"/>
    <w:rsid w:val="008A36BB"/>
    <w:rsid w:val="008A378F"/>
    <w:rsid w:val="008A405E"/>
    <w:rsid w:val="008A4132"/>
    <w:rsid w:val="008A5B2B"/>
    <w:rsid w:val="008A5B44"/>
    <w:rsid w:val="008A5EAA"/>
    <w:rsid w:val="008A5F94"/>
    <w:rsid w:val="008A6832"/>
    <w:rsid w:val="008A68C8"/>
    <w:rsid w:val="008A6DBA"/>
    <w:rsid w:val="008A7150"/>
    <w:rsid w:val="008A774A"/>
    <w:rsid w:val="008B0457"/>
    <w:rsid w:val="008B0B0F"/>
    <w:rsid w:val="008B0D21"/>
    <w:rsid w:val="008B0F91"/>
    <w:rsid w:val="008B1AE1"/>
    <w:rsid w:val="008B21D6"/>
    <w:rsid w:val="008B2250"/>
    <w:rsid w:val="008B262E"/>
    <w:rsid w:val="008B278B"/>
    <w:rsid w:val="008B2810"/>
    <w:rsid w:val="008B3527"/>
    <w:rsid w:val="008B373E"/>
    <w:rsid w:val="008B3868"/>
    <w:rsid w:val="008B3B91"/>
    <w:rsid w:val="008B3D28"/>
    <w:rsid w:val="008B45B7"/>
    <w:rsid w:val="008B4752"/>
    <w:rsid w:val="008B4760"/>
    <w:rsid w:val="008B498F"/>
    <w:rsid w:val="008B5B32"/>
    <w:rsid w:val="008B5D29"/>
    <w:rsid w:val="008B5F38"/>
    <w:rsid w:val="008B64DD"/>
    <w:rsid w:val="008B6D08"/>
    <w:rsid w:val="008B6D98"/>
    <w:rsid w:val="008B7B3A"/>
    <w:rsid w:val="008C00C1"/>
    <w:rsid w:val="008C0406"/>
    <w:rsid w:val="008C0600"/>
    <w:rsid w:val="008C0899"/>
    <w:rsid w:val="008C14C0"/>
    <w:rsid w:val="008C1D2B"/>
    <w:rsid w:val="008C1E09"/>
    <w:rsid w:val="008C3AB0"/>
    <w:rsid w:val="008C4727"/>
    <w:rsid w:val="008C52D1"/>
    <w:rsid w:val="008C53C0"/>
    <w:rsid w:val="008C5BF9"/>
    <w:rsid w:val="008C63C8"/>
    <w:rsid w:val="008C6C14"/>
    <w:rsid w:val="008C79BA"/>
    <w:rsid w:val="008D0A3A"/>
    <w:rsid w:val="008D173C"/>
    <w:rsid w:val="008D287C"/>
    <w:rsid w:val="008D3312"/>
    <w:rsid w:val="008D4444"/>
    <w:rsid w:val="008D49C4"/>
    <w:rsid w:val="008D6899"/>
    <w:rsid w:val="008D6E3F"/>
    <w:rsid w:val="008D7079"/>
    <w:rsid w:val="008D7816"/>
    <w:rsid w:val="008E08D9"/>
    <w:rsid w:val="008E0964"/>
    <w:rsid w:val="008E0A39"/>
    <w:rsid w:val="008E0CA3"/>
    <w:rsid w:val="008E144A"/>
    <w:rsid w:val="008E1B94"/>
    <w:rsid w:val="008E1DE8"/>
    <w:rsid w:val="008E2244"/>
    <w:rsid w:val="008E22F2"/>
    <w:rsid w:val="008E2CA0"/>
    <w:rsid w:val="008E2DF8"/>
    <w:rsid w:val="008E3285"/>
    <w:rsid w:val="008E32FF"/>
    <w:rsid w:val="008E360B"/>
    <w:rsid w:val="008E387F"/>
    <w:rsid w:val="008E3AA0"/>
    <w:rsid w:val="008E3C5A"/>
    <w:rsid w:val="008E4E68"/>
    <w:rsid w:val="008E5113"/>
    <w:rsid w:val="008E536B"/>
    <w:rsid w:val="008E5534"/>
    <w:rsid w:val="008E6CBE"/>
    <w:rsid w:val="008E6E9E"/>
    <w:rsid w:val="008E6FC0"/>
    <w:rsid w:val="008F02B7"/>
    <w:rsid w:val="008F0575"/>
    <w:rsid w:val="008F0923"/>
    <w:rsid w:val="008F0EE0"/>
    <w:rsid w:val="008F11CB"/>
    <w:rsid w:val="008F15D1"/>
    <w:rsid w:val="008F24A9"/>
    <w:rsid w:val="008F25F4"/>
    <w:rsid w:val="008F3FBF"/>
    <w:rsid w:val="008F425D"/>
    <w:rsid w:val="008F4527"/>
    <w:rsid w:val="008F4A06"/>
    <w:rsid w:val="008F4D63"/>
    <w:rsid w:val="008F51DF"/>
    <w:rsid w:val="008F5DE3"/>
    <w:rsid w:val="008F646D"/>
    <w:rsid w:val="008F6959"/>
    <w:rsid w:val="008F6F7C"/>
    <w:rsid w:val="008F6FCD"/>
    <w:rsid w:val="00900602"/>
    <w:rsid w:val="009006A2"/>
    <w:rsid w:val="00900747"/>
    <w:rsid w:val="00900865"/>
    <w:rsid w:val="00900BEB"/>
    <w:rsid w:val="0090130D"/>
    <w:rsid w:val="0090136C"/>
    <w:rsid w:val="0090296D"/>
    <w:rsid w:val="0090331C"/>
    <w:rsid w:val="00903BF8"/>
    <w:rsid w:val="00903CFA"/>
    <w:rsid w:val="00904BEC"/>
    <w:rsid w:val="00905FDD"/>
    <w:rsid w:val="00906709"/>
    <w:rsid w:val="00907439"/>
    <w:rsid w:val="0090786F"/>
    <w:rsid w:val="0091067B"/>
    <w:rsid w:val="00910F01"/>
    <w:rsid w:val="0091136C"/>
    <w:rsid w:val="00911824"/>
    <w:rsid w:val="00911F62"/>
    <w:rsid w:val="0091249A"/>
    <w:rsid w:val="00912875"/>
    <w:rsid w:val="00912E17"/>
    <w:rsid w:val="009131C3"/>
    <w:rsid w:val="00913801"/>
    <w:rsid w:val="00914017"/>
    <w:rsid w:val="00914390"/>
    <w:rsid w:val="00914858"/>
    <w:rsid w:val="00914BFF"/>
    <w:rsid w:val="00914C55"/>
    <w:rsid w:val="00915937"/>
    <w:rsid w:val="00915BC8"/>
    <w:rsid w:val="00915D33"/>
    <w:rsid w:val="00915D60"/>
    <w:rsid w:val="00915F3A"/>
    <w:rsid w:val="0091649E"/>
    <w:rsid w:val="0091743A"/>
    <w:rsid w:val="00920593"/>
    <w:rsid w:val="00920AFB"/>
    <w:rsid w:val="00920FB7"/>
    <w:rsid w:val="00921270"/>
    <w:rsid w:val="009215C7"/>
    <w:rsid w:val="00921878"/>
    <w:rsid w:val="009227C0"/>
    <w:rsid w:val="0092483A"/>
    <w:rsid w:val="0092492C"/>
    <w:rsid w:val="00924964"/>
    <w:rsid w:val="00924EB3"/>
    <w:rsid w:val="009261D4"/>
    <w:rsid w:val="00926444"/>
    <w:rsid w:val="00926575"/>
    <w:rsid w:val="00927332"/>
    <w:rsid w:val="0092767A"/>
    <w:rsid w:val="0093024B"/>
    <w:rsid w:val="00930BF4"/>
    <w:rsid w:val="00930BFD"/>
    <w:rsid w:val="00930EE6"/>
    <w:rsid w:val="009316CE"/>
    <w:rsid w:val="00931C81"/>
    <w:rsid w:val="009329AE"/>
    <w:rsid w:val="00932A5E"/>
    <w:rsid w:val="009335C0"/>
    <w:rsid w:val="00934372"/>
    <w:rsid w:val="00934740"/>
    <w:rsid w:val="009347BA"/>
    <w:rsid w:val="00934E0B"/>
    <w:rsid w:val="0093534C"/>
    <w:rsid w:val="009359DC"/>
    <w:rsid w:val="009367DC"/>
    <w:rsid w:val="0093704E"/>
    <w:rsid w:val="00937651"/>
    <w:rsid w:val="00940682"/>
    <w:rsid w:val="009408AF"/>
    <w:rsid w:val="00941D6B"/>
    <w:rsid w:val="00942835"/>
    <w:rsid w:val="0094361B"/>
    <w:rsid w:val="00943830"/>
    <w:rsid w:val="0094473F"/>
    <w:rsid w:val="009457CC"/>
    <w:rsid w:val="00945D0C"/>
    <w:rsid w:val="00946843"/>
    <w:rsid w:val="00946A2F"/>
    <w:rsid w:val="00946EF1"/>
    <w:rsid w:val="00947349"/>
    <w:rsid w:val="00947BD0"/>
    <w:rsid w:val="0095003D"/>
    <w:rsid w:val="00950258"/>
    <w:rsid w:val="009514B0"/>
    <w:rsid w:val="00951D32"/>
    <w:rsid w:val="00951F7F"/>
    <w:rsid w:val="009520BA"/>
    <w:rsid w:val="00952446"/>
    <w:rsid w:val="009538A1"/>
    <w:rsid w:val="009551C0"/>
    <w:rsid w:val="0095557E"/>
    <w:rsid w:val="00955FEE"/>
    <w:rsid w:val="00956254"/>
    <w:rsid w:val="009562F5"/>
    <w:rsid w:val="009566DF"/>
    <w:rsid w:val="009573A5"/>
    <w:rsid w:val="009579A9"/>
    <w:rsid w:val="00957AA0"/>
    <w:rsid w:val="00957B30"/>
    <w:rsid w:val="00957E65"/>
    <w:rsid w:val="00957FA9"/>
    <w:rsid w:val="009612BE"/>
    <w:rsid w:val="0096197D"/>
    <w:rsid w:val="00962B40"/>
    <w:rsid w:val="009635D8"/>
    <w:rsid w:val="00963A46"/>
    <w:rsid w:val="00963ACA"/>
    <w:rsid w:val="00964C7E"/>
    <w:rsid w:val="00965712"/>
    <w:rsid w:val="00965EF4"/>
    <w:rsid w:val="00967569"/>
    <w:rsid w:val="00967FCF"/>
    <w:rsid w:val="00970F3B"/>
    <w:rsid w:val="0097155E"/>
    <w:rsid w:val="00971E80"/>
    <w:rsid w:val="00971F5E"/>
    <w:rsid w:val="009720CB"/>
    <w:rsid w:val="00972441"/>
    <w:rsid w:val="00972DD5"/>
    <w:rsid w:val="009734B6"/>
    <w:rsid w:val="00973C65"/>
    <w:rsid w:val="00973F34"/>
    <w:rsid w:val="00974095"/>
    <w:rsid w:val="00974225"/>
    <w:rsid w:val="00974C29"/>
    <w:rsid w:val="00975AC4"/>
    <w:rsid w:val="009763A8"/>
    <w:rsid w:val="009778FD"/>
    <w:rsid w:val="00980370"/>
    <w:rsid w:val="00980567"/>
    <w:rsid w:val="009805F0"/>
    <w:rsid w:val="00980C31"/>
    <w:rsid w:val="00981808"/>
    <w:rsid w:val="009825B7"/>
    <w:rsid w:val="0098266E"/>
    <w:rsid w:val="00983130"/>
    <w:rsid w:val="00983A9A"/>
    <w:rsid w:val="00983D26"/>
    <w:rsid w:val="00984F65"/>
    <w:rsid w:val="0098592D"/>
    <w:rsid w:val="009859FE"/>
    <w:rsid w:val="00985E4A"/>
    <w:rsid w:val="00986432"/>
    <w:rsid w:val="00990D11"/>
    <w:rsid w:val="00990E16"/>
    <w:rsid w:val="00990E49"/>
    <w:rsid w:val="00992373"/>
    <w:rsid w:val="00992460"/>
    <w:rsid w:val="00992740"/>
    <w:rsid w:val="0099329D"/>
    <w:rsid w:val="0099357E"/>
    <w:rsid w:val="00993D82"/>
    <w:rsid w:val="0099400B"/>
    <w:rsid w:val="00994108"/>
    <w:rsid w:val="009941AD"/>
    <w:rsid w:val="0099440C"/>
    <w:rsid w:val="009946F6"/>
    <w:rsid w:val="0099605C"/>
    <w:rsid w:val="00996CE3"/>
    <w:rsid w:val="00996E6D"/>
    <w:rsid w:val="00997458"/>
    <w:rsid w:val="00997CFD"/>
    <w:rsid w:val="009A0F4E"/>
    <w:rsid w:val="009A0FB7"/>
    <w:rsid w:val="009A10B2"/>
    <w:rsid w:val="009A10FA"/>
    <w:rsid w:val="009A15BE"/>
    <w:rsid w:val="009A2530"/>
    <w:rsid w:val="009A4722"/>
    <w:rsid w:val="009A577B"/>
    <w:rsid w:val="009A5F5E"/>
    <w:rsid w:val="009A70A1"/>
    <w:rsid w:val="009A7D45"/>
    <w:rsid w:val="009A7DB3"/>
    <w:rsid w:val="009B0D12"/>
    <w:rsid w:val="009B1F36"/>
    <w:rsid w:val="009B1F4C"/>
    <w:rsid w:val="009B26D7"/>
    <w:rsid w:val="009B2964"/>
    <w:rsid w:val="009B2B40"/>
    <w:rsid w:val="009B2B8E"/>
    <w:rsid w:val="009B2D6E"/>
    <w:rsid w:val="009B3BD3"/>
    <w:rsid w:val="009B59CC"/>
    <w:rsid w:val="009B5D1D"/>
    <w:rsid w:val="009B5D84"/>
    <w:rsid w:val="009B6281"/>
    <w:rsid w:val="009B63C6"/>
    <w:rsid w:val="009B6831"/>
    <w:rsid w:val="009B6916"/>
    <w:rsid w:val="009B7423"/>
    <w:rsid w:val="009C001B"/>
    <w:rsid w:val="009C02C6"/>
    <w:rsid w:val="009C1138"/>
    <w:rsid w:val="009C14E2"/>
    <w:rsid w:val="009C15C2"/>
    <w:rsid w:val="009C183C"/>
    <w:rsid w:val="009C2AF2"/>
    <w:rsid w:val="009C3239"/>
    <w:rsid w:val="009C3939"/>
    <w:rsid w:val="009C43A3"/>
    <w:rsid w:val="009C4BB6"/>
    <w:rsid w:val="009C4CEC"/>
    <w:rsid w:val="009C4DFF"/>
    <w:rsid w:val="009C556D"/>
    <w:rsid w:val="009C6D61"/>
    <w:rsid w:val="009C735E"/>
    <w:rsid w:val="009C7371"/>
    <w:rsid w:val="009C76D0"/>
    <w:rsid w:val="009C7A29"/>
    <w:rsid w:val="009C7D7D"/>
    <w:rsid w:val="009D17D6"/>
    <w:rsid w:val="009D1CD0"/>
    <w:rsid w:val="009D2221"/>
    <w:rsid w:val="009D2629"/>
    <w:rsid w:val="009D2909"/>
    <w:rsid w:val="009D2944"/>
    <w:rsid w:val="009D32AE"/>
    <w:rsid w:val="009D39A0"/>
    <w:rsid w:val="009D3F61"/>
    <w:rsid w:val="009D400E"/>
    <w:rsid w:val="009D4470"/>
    <w:rsid w:val="009D44BC"/>
    <w:rsid w:val="009D4E94"/>
    <w:rsid w:val="009D563D"/>
    <w:rsid w:val="009D6420"/>
    <w:rsid w:val="009D644D"/>
    <w:rsid w:val="009D67A4"/>
    <w:rsid w:val="009D702D"/>
    <w:rsid w:val="009D73E6"/>
    <w:rsid w:val="009D7FCE"/>
    <w:rsid w:val="009E15AC"/>
    <w:rsid w:val="009E1E64"/>
    <w:rsid w:val="009E2720"/>
    <w:rsid w:val="009E29A9"/>
    <w:rsid w:val="009E3699"/>
    <w:rsid w:val="009E48DB"/>
    <w:rsid w:val="009E4E1C"/>
    <w:rsid w:val="009E6049"/>
    <w:rsid w:val="009E6968"/>
    <w:rsid w:val="009E6E94"/>
    <w:rsid w:val="009E6F60"/>
    <w:rsid w:val="009F0FF6"/>
    <w:rsid w:val="009F13E9"/>
    <w:rsid w:val="009F15D2"/>
    <w:rsid w:val="009F1A61"/>
    <w:rsid w:val="009F3241"/>
    <w:rsid w:val="009F44DE"/>
    <w:rsid w:val="009F4EA3"/>
    <w:rsid w:val="009F5793"/>
    <w:rsid w:val="009F5E13"/>
    <w:rsid w:val="009F6984"/>
    <w:rsid w:val="009F69D8"/>
    <w:rsid w:val="009F722B"/>
    <w:rsid w:val="009F7BD7"/>
    <w:rsid w:val="009F7CFE"/>
    <w:rsid w:val="00A0023E"/>
    <w:rsid w:val="00A00317"/>
    <w:rsid w:val="00A00600"/>
    <w:rsid w:val="00A00CB6"/>
    <w:rsid w:val="00A0138A"/>
    <w:rsid w:val="00A01889"/>
    <w:rsid w:val="00A0224F"/>
    <w:rsid w:val="00A0246A"/>
    <w:rsid w:val="00A02A60"/>
    <w:rsid w:val="00A03148"/>
    <w:rsid w:val="00A031D7"/>
    <w:rsid w:val="00A03826"/>
    <w:rsid w:val="00A03A6E"/>
    <w:rsid w:val="00A04089"/>
    <w:rsid w:val="00A040D8"/>
    <w:rsid w:val="00A0418C"/>
    <w:rsid w:val="00A05141"/>
    <w:rsid w:val="00A051CF"/>
    <w:rsid w:val="00A064B8"/>
    <w:rsid w:val="00A0654D"/>
    <w:rsid w:val="00A06E8F"/>
    <w:rsid w:val="00A07066"/>
    <w:rsid w:val="00A07927"/>
    <w:rsid w:val="00A100E4"/>
    <w:rsid w:val="00A105F7"/>
    <w:rsid w:val="00A1223F"/>
    <w:rsid w:val="00A1284E"/>
    <w:rsid w:val="00A12AD2"/>
    <w:rsid w:val="00A12EC2"/>
    <w:rsid w:val="00A1319F"/>
    <w:rsid w:val="00A13C9B"/>
    <w:rsid w:val="00A141A5"/>
    <w:rsid w:val="00A1530F"/>
    <w:rsid w:val="00A155F8"/>
    <w:rsid w:val="00A15C63"/>
    <w:rsid w:val="00A177F0"/>
    <w:rsid w:val="00A17907"/>
    <w:rsid w:val="00A17D87"/>
    <w:rsid w:val="00A2102B"/>
    <w:rsid w:val="00A218B2"/>
    <w:rsid w:val="00A2295E"/>
    <w:rsid w:val="00A23A84"/>
    <w:rsid w:val="00A23B3F"/>
    <w:rsid w:val="00A25DC0"/>
    <w:rsid w:val="00A25F89"/>
    <w:rsid w:val="00A279DB"/>
    <w:rsid w:val="00A302AD"/>
    <w:rsid w:val="00A302CC"/>
    <w:rsid w:val="00A30772"/>
    <w:rsid w:val="00A30920"/>
    <w:rsid w:val="00A30A4B"/>
    <w:rsid w:val="00A31548"/>
    <w:rsid w:val="00A3231A"/>
    <w:rsid w:val="00A32471"/>
    <w:rsid w:val="00A32807"/>
    <w:rsid w:val="00A32A09"/>
    <w:rsid w:val="00A33707"/>
    <w:rsid w:val="00A337D1"/>
    <w:rsid w:val="00A34227"/>
    <w:rsid w:val="00A34690"/>
    <w:rsid w:val="00A3737D"/>
    <w:rsid w:val="00A40C4B"/>
    <w:rsid w:val="00A41250"/>
    <w:rsid w:val="00A413A3"/>
    <w:rsid w:val="00A41987"/>
    <w:rsid w:val="00A41B39"/>
    <w:rsid w:val="00A41B5D"/>
    <w:rsid w:val="00A41C1A"/>
    <w:rsid w:val="00A41F0A"/>
    <w:rsid w:val="00A4228A"/>
    <w:rsid w:val="00A426D3"/>
    <w:rsid w:val="00A44880"/>
    <w:rsid w:val="00A44CDA"/>
    <w:rsid w:val="00A44D39"/>
    <w:rsid w:val="00A454B1"/>
    <w:rsid w:val="00A45748"/>
    <w:rsid w:val="00A45B99"/>
    <w:rsid w:val="00A4600A"/>
    <w:rsid w:val="00A46B1B"/>
    <w:rsid w:val="00A46F2A"/>
    <w:rsid w:val="00A47213"/>
    <w:rsid w:val="00A479D0"/>
    <w:rsid w:val="00A47C23"/>
    <w:rsid w:val="00A50196"/>
    <w:rsid w:val="00A502D1"/>
    <w:rsid w:val="00A5040E"/>
    <w:rsid w:val="00A50552"/>
    <w:rsid w:val="00A50564"/>
    <w:rsid w:val="00A50A75"/>
    <w:rsid w:val="00A513B5"/>
    <w:rsid w:val="00A5148D"/>
    <w:rsid w:val="00A5274C"/>
    <w:rsid w:val="00A5297B"/>
    <w:rsid w:val="00A52AD6"/>
    <w:rsid w:val="00A52D5F"/>
    <w:rsid w:val="00A535CF"/>
    <w:rsid w:val="00A5376E"/>
    <w:rsid w:val="00A5440F"/>
    <w:rsid w:val="00A5467C"/>
    <w:rsid w:val="00A54C30"/>
    <w:rsid w:val="00A54C66"/>
    <w:rsid w:val="00A551D7"/>
    <w:rsid w:val="00A554DF"/>
    <w:rsid w:val="00A5610D"/>
    <w:rsid w:val="00A5656B"/>
    <w:rsid w:val="00A567F6"/>
    <w:rsid w:val="00A56887"/>
    <w:rsid w:val="00A5741C"/>
    <w:rsid w:val="00A57513"/>
    <w:rsid w:val="00A6026A"/>
    <w:rsid w:val="00A615DC"/>
    <w:rsid w:val="00A62186"/>
    <w:rsid w:val="00A6260A"/>
    <w:rsid w:val="00A62B5A"/>
    <w:rsid w:val="00A63336"/>
    <w:rsid w:val="00A64BDE"/>
    <w:rsid w:val="00A64E73"/>
    <w:rsid w:val="00A650E0"/>
    <w:rsid w:val="00A6564E"/>
    <w:rsid w:val="00A65D1D"/>
    <w:rsid w:val="00A66123"/>
    <w:rsid w:val="00A666A9"/>
    <w:rsid w:val="00A668E8"/>
    <w:rsid w:val="00A671BA"/>
    <w:rsid w:val="00A71BC7"/>
    <w:rsid w:val="00A71CCD"/>
    <w:rsid w:val="00A72926"/>
    <w:rsid w:val="00A7326A"/>
    <w:rsid w:val="00A73C36"/>
    <w:rsid w:val="00A74382"/>
    <w:rsid w:val="00A7465D"/>
    <w:rsid w:val="00A75377"/>
    <w:rsid w:val="00A75686"/>
    <w:rsid w:val="00A7575D"/>
    <w:rsid w:val="00A75898"/>
    <w:rsid w:val="00A7607C"/>
    <w:rsid w:val="00A76CB3"/>
    <w:rsid w:val="00A776D8"/>
    <w:rsid w:val="00A7786D"/>
    <w:rsid w:val="00A80B7C"/>
    <w:rsid w:val="00A816EE"/>
    <w:rsid w:val="00A81989"/>
    <w:rsid w:val="00A81A57"/>
    <w:rsid w:val="00A82343"/>
    <w:rsid w:val="00A82498"/>
    <w:rsid w:val="00A82732"/>
    <w:rsid w:val="00A8278D"/>
    <w:rsid w:val="00A83C6E"/>
    <w:rsid w:val="00A83FD9"/>
    <w:rsid w:val="00A854C1"/>
    <w:rsid w:val="00A8566B"/>
    <w:rsid w:val="00A8696F"/>
    <w:rsid w:val="00A879EC"/>
    <w:rsid w:val="00A87C9D"/>
    <w:rsid w:val="00A87DAF"/>
    <w:rsid w:val="00A90448"/>
    <w:rsid w:val="00A9053F"/>
    <w:rsid w:val="00A90D9D"/>
    <w:rsid w:val="00A90F8E"/>
    <w:rsid w:val="00A912A1"/>
    <w:rsid w:val="00A91364"/>
    <w:rsid w:val="00A916D0"/>
    <w:rsid w:val="00A91F05"/>
    <w:rsid w:val="00A923D4"/>
    <w:rsid w:val="00A9261B"/>
    <w:rsid w:val="00A92824"/>
    <w:rsid w:val="00A931E4"/>
    <w:rsid w:val="00A93219"/>
    <w:rsid w:val="00A933D1"/>
    <w:rsid w:val="00A938C9"/>
    <w:rsid w:val="00A93D39"/>
    <w:rsid w:val="00A95222"/>
    <w:rsid w:val="00A95346"/>
    <w:rsid w:val="00A95AB2"/>
    <w:rsid w:val="00A9614A"/>
    <w:rsid w:val="00A970E3"/>
    <w:rsid w:val="00A97959"/>
    <w:rsid w:val="00AA0974"/>
    <w:rsid w:val="00AA0A53"/>
    <w:rsid w:val="00AA0BC6"/>
    <w:rsid w:val="00AA0C14"/>
    <w:rsid w:val="00AA1202"/>
    <w:rsid w:val="00AA15A9"/>
    <w:rsid w:val="00AA1AA1"/>
    <w:rsid w:val="00AA1C20"/>
    <w:rsid w:val="00AA2C28"/>
    <w:rsid w:val="00AA359D"/>
    <w:rsid w:val="00AA3B75"/>
    <w:rsid w:val="00AA3CEA"/>
    <w:rsid w:val="00AA4B14"/>
    <w:rsid w:val="00AA5446"/>
    <w:rsid w:val="00AA7423"/>
    <w:rsid w:val="00AA78D6"/>
    <w:rsid w:val="00AA7B82"/>
    <w:rsid w:val="00AA7DF4"/>
    <w:rsid w:val="00AA7FE3"/>
    <w:rsid w:val="00AB0182"/>
    <w:rsid w:val="00AB04C6"/>
    <w:rsid w:val="00AB19E5"/>
    <w:rsid w:val="00AB22ED"/>
    <w:rsid w:val="00AB23BA"/>
    <w:rsid w:val="00AB2774"/>
    <w:rsid w:val="00AB33E8"/>
    <w:rsid w:val="00AB34C4"/>
    <w:rsid w:val="00AB35C3"/>
    <w:rsid w:val="00AB4005"/>
    <w:rsid w:val="00AB4181"/>
    <w:rsid w:val="00AB51EC"/>
    <w:rsid w:val="00AB5F4E"/>
    <w:rsid w:val="00AB623A"/>
    <w:rsid w:val="00AB712A"/>
    <w:rsid w:val="00AB72D4"/>
    <w:rsid w:val="00AB7840"/>
    <w:rsid w:val="00AB79A1"/>
    <w:rsid w:val="00AC0061"/>
    <w:rsid w:val="00AC068B"/>
    <w:rsid w:val="00AC07B6"/>
    <w:rsid w:val="00AC0C81"/>
    <w:rsid w:val="00AC11F4"/>
    <w:rsid w:val="00AC1639"/>
    <w:rsid w:val="00AC1873"/>
    <w:rsid w:val="00AC1A5A"/>
    <w:rsid w:val="00AC2132"/>
    <w:rsid w:val="00AC234F"/>
    <w:rsid w:val="00AC2394"/>
    <w:rsid w:val="00AC27CE"/>
    <w:rsid w:val="00AC3850"/>
    <w:rsid w:val="00AC3BF3"/>
    <w:rsid w:val="00AC4180"/>
    <w:rsid w:val="00AC42FF"/>
    <w:rsid w:val="00AC46BC"/>
    <w:rsid w:val="00AC5709"/>
    <w:rsid w:val="00AC582F"/>
    <w:rsid w:val="00AC59D3"/>
    <w:rsid w:val="00AC683D"/>
    <w:rsid w:val="00AC68D0"/>
    <w:rsid w:val="00AC697E"/>
    <w:rsid w:val="00AC746D"/>
    <w:rsid w:val="00AD02F5"/>
    <w:rsid w:val="00AD0457"/>
    <w:rsid w:val="00AD097B"/>
    <w:rsid w:val="00AD11A6"/>
    <w:rsid w:val="00AD1546"/>
    <w:rsid w:val="00AD170E"/>
    <w:rsid w:val="00AD2005"/>
    <w:rsid w:val="00AD2427"/>
    <w:rsid w:val="00AD29EB"/>
    <w:rsid w:val="00AD321B"/>
    <w:rsid w:val="00AD3324"/>
    <w:rsid w:val="00AD35D8"/>
    <w:rsid w:val="00AD374E"/>
    <w:rsid w:val="00AD3AD9"/>
    <w:rsid w:val="00AD41E0"/>
    <w:rsid w:val="00AD4765"/>
    <w:rsid w:val="00AD5252"/>
    <w:rsid w:val="00AD53CB"/>
    <w:rsid w:val="00AD5783"/>
    <w:rsid w:val="00AD5C65"/>
    <w:rsid w:val="00AD60B3"/>
    <w:rsid w:val="00AD79CD"/>
    <w:rsid w:val="00AE053C"/>
    <w:rsid w:val="00AE05C1"/>
    <w:rsid w:val="00AE0CD7"/>
    <w:rsid w:val="00AE0E70"/>
    <w:rsid w:val="00AE109E"/>
    <w:rsid w:val="00AE1133"/>
    <w:rsid w:val="00AE2248"/>
    <w:rsid w:val="00AE2927"/>
    <w:rsid w:val="00AE2DC8"/>
    <w:rsid w:val="00AE44D3"/>
    <w:rsid w:val="00AE5B68"/>
    <w:rsid w:val="00AE74EC"/>
    <w:rsid w:val="00AE7564"/>
    <w:rsid w:val="00AF1443"/>
    <w:rsid w:val="00AF1801"/>
    <w:rsid w:val="00AF2687"/>
    <w:rsid w:val="00AF2CBC"/>
    <w:rsid w:val="00AF30DD"/>
    <w:rsid w:val="00AF31CB"/>
    <w:rsid w:val="00AF3971"/>
    <w:rsid w:val="00AF3D59"/>
    <w:rsid w:val="00AF44E5"/>
    <w:rsid w:val="00AF5583"/>
    <w:rsid w:val="00AF6CD0"/>
    <w:rsid w:val="00AF7542"/>
    <w:rsid w:val="00AF7D09"/>
    <w:rsid w:val="00B00484"/>
    <w:rsid w:val="00B005F0"/>
    <w:rsid w:val="00B016C8"/>
    <w:rsid w:val="00B018BA"/>
    <w:rsid w:val="00B01973"/>
    <w:rsid w:val="00B01E50"/>
    <w:rsid w:val="00B0231A"/>
    <w:rsid w:val="00B02750"/>
    <w:rsid w:val="00B02DFF"/>
    <w:rsid w:val="00B02F8B"/>
    <w:rsid w:val="00B0324C"/>
    <w:rsid w:val="00B03A17"/>
    <w:rsid w:val="00B03D19"/>
    <w:rsid w:val="00B040B9"/>
    <w:rsid w:val="00B04C71"/>
    <w:rsid w:val="00B04D14"/>
    <w:rsid w:val="00B05666"/>
    <w:rsid w:val="00B05AE8"/>
    <w:rsid w:val="00B06262"/>
    <w:rsid w:val="00B06348"/>
    <w:rsid w:val="00B074DC"/>
    <w:rsid w:val="00B07B44"/>
    <w:rsid w:val="00B10931"/>
    <w:rsid w:val="00B10E04"/>
    <w:rsid w:val="00B10E77"/>
    <w:rsid w:val="00B10FE1"/>
    <w:rsid w:val="00B1105A"/>
    <w:rsid w:val="00B11252"/>
    <w:rsid w:val="00B12702"/>
    <w:rsid w:val="00B129C0"/>
    <w:rsid w:val="00B12B6F"/>
    <w:rsid w:val="00B12B78"/>
    <w:rsid w:val="00B131F1"/>
    <w:rsid w:val="00B13225"/>
    <w:rsid w:val="00B13BD4"/>
    <w:rsid w:val="00B140FE"/>
    <w:rsid w:val="00B144A2"/>
    <w:rsid w:val="00B15432"/>
    <w:rsid w:val="00B158C0"/>
    <w:rsid w:val="00B15FE8"/>
    <w:rsid w:val="00B165B8"/>
    <w:rsid w:val="00B169D0"/>
    <w:rsid w:val="00B1723F"/>
    <w:rsid w:val="00B177DF"/>
    <w:rsid w:val="00B202F8"/>
    <w:rsid w:val="00B21971"/>
    <w:rsid w:val="00B21B57"/>
    <w:rsid w:val="00B22553"/>
    <w:rsid w:val="00B22BE0"/>
    <w:rsid w:val="00B22E9F"/>
    <w:rsid w:val="00B238B5"/>
    <w:rsid w:val="00B244EE"/>
    <w:rsid w:val="00B248FA"/>
    <w:rsid w:val="00B25050"/>
    <w:rsid w:val="00B254E5"/>
    <w:rsid w:val="00B25761"/>
    <w:rsid w:val="00B25AD8"/>
    <w:rsid w:val="00B25D7B"/>
    <w:rsid w:val="00B2759A"/>
    <w:rsid w:val="00B27F0E"/>
    <w:rsid w:val="00B30BBB"/>
    <w:rsid w:val="00B30BF3"/>
    <w:rsid w:val="00B31541"/>
    <w:rsid w:val="00B31BDD"/>
    <w:rsid w:val="00B31F5F"/>
    <w:rsid w:val="00B321FE"/>
    <w:rsid w:val="00B33C9D"/>
    <w:rsid w:val="00B34459"/>
    <w:rsid w:val="00B346DD"/>
    <w:rsid w:val="00B34FB8"/>
    <w:rsid w:val="00B35542"/>
    <w:rsid w:val="00B35878"/>
    <w:rsid w:val="00B3632C"/>
    <w:rsid w:val="00B3769F"/>
    <w:rsid w:val="00B37CFA"/>
    <w:rsid w:val="00B40829"/>
    <w:rsid w:val="00B409D7"/>
    <w:rsid w:val="00B40FAD"/>
    <w:rsid w:val="00B414DC"/>
    <w:rsid w:val="00B416C2"/>
    <w:rsid w:val="00B416F8"/>
    <w:rsid w:val="00B41722"/>
    <w:rsid w:val="00B41A06"/>
    <w:rsid w:val="00B41C84"/>
    <w:rsid w:val="00B41FBA"/>
    <w:rsid w:val="00B422C1"/>
    <w:rsid w:val="00B42482"/>
    <w:rsid w:val="00B43CFA"/>
    <w:rsid w:val="00B45F4E"/>
    <w:rsid w:val="00B4673D"/>
    <w:rsid w:val="00B468E0"/>
    <w:rsid w:val="00B4736B"/>
    <w:rsid w:val="00B4739F"/>
    <w:rsid w:val="00B50A0C"/>
    <w:rsid w:val="00B51255"/>
    <w:rsid w:val="00B512A7"/>
    <w:rsid w:val="00B51510"/>
    <w:rsid w:val="00B51FBD"/>
    <w:rsid w:val="00B52219"/>
    <w:rsid w:val="00B527A7"/>
    <w:rsid w:val="00B52ED9"/>
    <w:rsid w:val="00B53865"/>
    <w:rsid w:val="00B53DBB"/>
    <w:rsid w:val="00B53F6D"/>
    <w:rsid w:val="00B53FEB"/>
    <w:rsid w:val="00B540B5"/>
    <w:rsid w:val="00B54430"/>
    <w:rsid w:val="00B5523F"/>
    <w:rsid w:val="00B557BA"/>
    <w:rsid w:val="00B557BE"/>
    <w:rsid w:val="00B55F38"/>
    <w:rsid w:val="00B5647A"/>
    <w:rsid w:val="00B56707"/>
    <w:rsid w:val="00B568F7"/>
    <w:rsid w:val="00B56EFC"/>
    <w:rsid w:val="00B60BE5"/>
    <w:rsid w:val="00B61BE8"/>
    <w:rsid w:val="00B61F4F"/>
    <w:rsid w:val="00B61FD0"/>
    <w:rsid w:val="00B62216"/>
    <w:rsid w:val="00B62603"/>
    <w:rsid w:val="00B629FF"/>
    <w:rsid w:val="00B62CB1"/>
    <w:rsid w:val="00B633A5"/>
    <w:rsid w:val="00B63E22"/>
    <w:rsid w:val="00B64010"/>
    <w:rsid w:val="00B644A5"/>
    <w:rsid w:val="00B64FAC"/>
    <w:rsid w:val="00B65D8F"/>
    <w:rsid w:val="00B6632E"/>
    <w:rsid w:val="00B67A70"/>
    <w:rsid w:val="00B7010F"/>
    <w:rsid w:val="00B70DB4"/>
    <w:rsid w:val="00B71708"/>
    <w:rsid w:val="00B729CF"/>
    <w:rsid w:val="00B729DF"/>
    <w:rsid w:val="00B72BBB"/>
    <w:rsid w:val="00B73B3A"/>
    <w:rsid w:val="00B73C5A"/>
    <w:rsid w:val="00B75065"/>
    <w:rsid w:val="00B75380"/>
    <w:rsid w:val="00B756BA"/>
    <w:rsid w:val="00B76CA9"/>
    <w:rsid w:val="00B771FA"/>
    <w:rsid w:val="00B7739D"/>
    <w:rsid w:val="00B779C7"/>
    <w:rsid w:val="00B809EF"/>
    <w:rsid w:val="00B8102B"/>
    <w:rsid w:val="00B81417"/>
    <w:rsid w:val="00B82F42"/>
    <w:rsid w:val="00B83136"/>
    <w:rsid w:val="00B836C8"/>
    <w:rsid w:val="00B83DF3"/>
    <w:rsid w:val="00B83E12"/>
    <w:rsid w:val="00B842B5"/>
    <w:rsid w:val="00B84856"/>
    <w:rsid w:val="00B84995"/>
    <w:rsid w:val="00B85597"/>
    <w:rsid w:val="00B860A1"/>
    <w:rsid w:val="00B86275"/>
    <w:rsid w:val="00B86AA9"/>
    <w:rsid w:val="00B86B69"/>
    <w:rsid w:val="00B86D58"/>
    <w:rsid w:val="00B87496"/>
    <w:rsid w:val="00B87570"/>
    <w:rsid w:val="00B878C8"/>
    <w:rsid w:val="00B87D4E"/>
    <w:rsid w:val="00B903CC"/>
    <w:rsid w:val="00B90DC0"/>
    <w:rsid w:val="00B91567"/>
    <w:rsid w:val="00B92494"/>
    <w:rsid w:val="00B93673"/>
    <w:rsid w:val="00B94BAC"/>
    <w:rsid w:val="00B95631"/>
    <w:rsid w:val="00B95D76"/>
    <w:rsid w:val="00B96644"/>
    <w:rsid w:val="00B96D62"/>
    <w:rsid w:val="00B96FF8"/>
    <w:rsid w:val="00B9782D"/>
    <w:rsid w:val="00B97A65"/>
    <w:rsid w:val="00BA044A"/>
    <w:rsid w:val="00BA0AD8"/>
    <w:rsid w:val="00BA1A5A"/>
    <w:rsid w:val="00BA34C7"/>
    <w:rsid w:val="00BA3568"/>
    <w:rsid w:val="00BA50CD"/>
    <w:rsid w:val="00BA621B"/>
    <w:rsid w:val="00BA6484"/>
    <w:rsid w:val="00BA6FA2"/>
    <w:rsid w:val="00BA7243"/>
    <w:rsid w:val="00BA725A"/>
    <w:rsid w:val="00BA7DE2"/>
    <w:rsid w:val="00BB120A"/>
    <w:rsid w:val="00BB12FD"/>
    <w:rsid w:val="00BB14FC"/>
    <w:rsid w:val="00BB1B86"/>
    <w:rsid w:val="00BB2838"/>
    <w:rsid w:val="00BB2C55"/>
    <w:rsid w:val="00BB32B1"/>
    <w:rsid w:val="00BB3547"/>
    <w:rsid w:val="00BB35F4"/>
    <w:rsid w:val="00BB38A2"/>
    <w:rsid w:val="00BB3948"/>
    <w:rsid w:val="00BB4E85"/>
    <w:rsid w:val="00BB662D"/>
    <w:rsid w:val="00BB701E"/>
    <w:rsid w:val="00BB79EC"/>
    <w:rsid w:val="00BC1046"/>
    <w:rsid w:val="00BC190D"/>
    <w:rsid w:val="00BC2A51"/>
    <w:rsid w:val="00BC2D23"/>
    <w:rsid w:val="00BC3359"/>
    <w:rsid w:val="00BC35EC"/>
    <w:rsid w:val="00BC398D"/>
    <w:rsid w:val="00BC3BAB"/>
    <w:rsid w:val="00BC450F"/>
    <w:rsid w:val="00BC5735"/>
    <w:rsid w:val="00BC5FCE"/>
    <w:rsid w:val="00BC6DBC"/>
    <w:rsid w:val="00BC7EA0"/>
    <w:rsid w:val="00BD08B0"/>
    <w:rsid w:val="00BD09AA"/>
    <w:rsid w:val="00BD1ED7"/>
    <w:rsid w:val="00BD1F2A"/>
    <w:rsid w:val="00BD2B70"/>
    <w:rsid w:val="00BD2DA1"/>
    <w:rsid w:val="00BD47EC"/>
    <w:rsid w:val="00BD4CBF"/>
    <w:rsid w:val="00BD4E41"/>
    <w:rsid w:val="00BD5885"/>
    <w:rsid w:val="00BD5897"/>
    <w:rsid w:val="00BD679C"/>
    <w:rsid w:val="00BD6DBC"/>
    <w:rsid w:val="00BD72FD"/>
    <w:rsid w:val="00BD7983"/>
    <w:rsid w:val="00BD7F3F"/>
    <w:rsid w:val="00BE0423"/>
    <w:rsid w:val="00BE098E"/>
    <w:rsid w:val="00BE1007"/>
    <w:rsid w:val="00BE132F"/>
    <w:rsid w:val="00BE136B"/>
    <w:rsid w:val="00BE157F"/>
    <w:rsid w:val="00BE15EC"/>
    <w:rsid w:val="00BE1757"/>
    <w:rsid w:val="00BE1825"/>
    <w:rsid w:val="00BE186E"/>
    <w:rsid w:val="00BE208E"/>
    <w:rsid w:val="00BE2EFB"/>
    <w:rsid w:val="00BE3376"/>
    <w:rsid w:val="00BE36BD"/>
    <w:rsid w:val="00BE37E7"/>
    <w:rsid w:val="00BE3973"/>
    <w:rsid w:val="00BE40FE"/>
    <w:rsid w:val="00BE47A5"/>
    <w:rsid w:val="00BE4A4B"/>
    <w:rsid w:val="00BE4A77"/>
    <w:rsid w:val="00BE4D91"/>
    <w:rsid w:val="00BE4F19"/>
    <w:rsid w:val="00BE5350"/>
    <w:rsid w:val="00BE5C10"/>
    <w:rsid w:val="00BE63F8"/>
    <w:rsid w:val="00BE6A1B"/>
    <w:rsid w:val="00BE7153"/>
    <w:rsid w:val="00BE78BD"/>
    <w:rsid w:val="00BE7966"/>
    <w:rsid w:val="00BF0DD2"/>
    <w:rsid w:val="00BF1081"/>
    <w:rsid w:val="00BF10F1"/>
    <w:rsid w:val="00BF15B9"/>
    <w:rsid w:val="00BF1CF3"/>
    <w:rsid w:val="00BF1FCA"/>
    <w:rsid w:val="00BF2B55"/>
    <w:rsid w:val="00BF30B6"/>
    <w:rsid w:val="00BF39F1"/>
    <w:rsid w:val="00BF3A01"/>
    <w:rsid w:val="00BF40DB"/>
    <w:rsid w:val="00BF571A"/>
    <w:rsid w:val="00BF618A"/>
    <w:rsid w:val="00BF7B43"/>
    <w:rsid w:val="00C00E0E"/>
    <w:rsid w:val="00C0121A"/>
    <w:rsid w:val="00C02D2F"/>
    <w:rsid w:val="00C03001"/>
    <w:rsid w:val="00C038F2"/>
    <w:rsid w:val="00C06042"/>
    <w:rsid w:val="00C067AF"/>
    <w:rsid w:val="00C069AA"/>
    <w:rsid w:val="00C07C69"/>
    <w:rsid w:val="00C114BA"/>
    <w:rsid w:val="00C11AE3"/>
    <w:rsid w:val="00C12AD3"/>
    <w:rsid w:val="00C1457B"/>
    <w:rsid w:val="00C16659"/>
    <w:rsid w:val="00C16B62"/>
    <w:rsid w:val="00C17956"/>
    <w:rsid w:val="00C20758"/>
    <w:rsid w:val="00C20886"/>
    <w:rsid w:val="00C2203C"/>
    <w:rsid w:val="00C2205B"/>
    <w:rsid w:val="00C22AD3"/>
    <w:rsid w:val="00C22B43"/>
    <w:rsid w:val="00C22C6C"/>
    <w:rsid w:val="00C23374"/>
    <w:rsid w:val="00C23578"/>
    <w:rsid w:val="00C239AF"/>
    <w:rsid w:val="00C23A2C"/>
    <w:rsid w:val="00C23A4B"/>
    <w:rsid w:val="00C23BC0"/>
    <w:rsid w:val="00C241FD"/>
    <w:rsid w:val="00C24358"/>
    <w:rsid w:val="00C24910"/>
    <w:rsid w:val="00C24BBF"/>
    <w:rsid w:val="00C24E71"/>
    <w:rsid w:val="00C2510B"/>
    <w:rsid w:val="00C25BB8"/>
    <w:rsid w:val="00C26B19"/>
    <w:rsid w:val="00C26B48"/>
    <w:rsid w:val="00C26C5B"/>
    <w:rsid w:val="00C272B4"/>
    <w:rsid w:val="00C277A4"/>
    <w:rsid w:val="00C27BBA"/>
    <w:rsid w:val="00C27D44"/>
    <w:rsid w:val="00C27D60"/>
    <w:rsid w:val="00C3005B"/>
    <w:rsid w:val="00C302E3"/>
    <w:rsid w:val="00C32665"/>
    <w:rsid w:val="00C32905"/>
    <w:rsid w:val="00C33C7A"/>
    <w:rsid w:val="00C34B38"/>
    <w:rsid w:val="00C34F57"/>
    <w:rsid w:val="00C37844"/>
    <w:rsid w:val="00C37994"/>
    <w:rsid w:val="00C37AE2"/>
    <w:rsid w:val="00C40579"/>
    <w:rsid w:val="00C406BE"/>
    <w:rsid w:val="00C4090B"/>
    <w:rsid w:val="00C41A65"/>
    <w:rsid w:val="00C43658"/>
    <w:rsid w:val="00C43DA9"/>
    <w:rsid w:val="00C43EE6"/>
    <w:rsid w:val="00C441C2"/>
    <w:rsid w:val="00C44E0A"/>
    <w:rsid w:val="00C4689A"/>
    <w:rsid w:val="00C46D91"/>
    <w:rsid w:val="00C5024C"/>
    <w:rsid w:val="00C50B14"/>
    <w:rsid w:val="00C50C4E"/>
    <w:rsid w:val="00C50CB6"/>
    <w:rsid w:val="00C513A4"/>
    <w:rsid w:val="00C5183E"/>
    <w:rsid w:val="00C51C05"/>
    <w:rsid w:val="00C5254D"/>
    <w:rsid w:val="00C52C4E"/>
    <w:rsid w:val="00C52E2D"/>
    <w:rsid w:val="00C534BE"/>
    <w:rsid w:val="00C53B0C"/>
    <w:rsid w:val="00C53F04"/>
    <w:rsid w:val="00C54451"/>
    <w:rsid w:val="00C55289"/>
    <w:rsid w:val="00C556BC"/>
    <w:rsid w:val="00C55CF1"/>
    <w:rsid w:val="00C56DCF"/>
    <w:rsid w:val="00C57276"/>
    <w:rsid w:val="00C57376"/>
    <w:rsid w:val="00C57B83"/>
    <w:rsid w:val="00C604DD"/>
    <w:rsid w:val="00C61E9A"/>
    <w:rsid w:val="00C62268"/>
    <w:rsid w:val="00C62274"/>
    <w:rsid w:val="00C622C9"/>
    <w:rsid w:val="00C624CD"/>
    <w:rsid w:val="00C628B0"/>
    <w:rsid w:val="00C629BA"/>
    <w:rsid w:val="00C62A21"/>
    <w:rsid w:val="00C637AD"/>
    <w:rsid w:val="00C638B7"/>
    <w:rsid w:val="00C63A1A"/>
    <w:rsid w:val="00C63A4C"/>
    <w:rsid w:val="00C643ED"/>
    <w:rsid w:val="00C6461D"/>
    <w:rsid w:val="00C64819"/>
    <w:rsid w:val="00C6483C"/>
    <w:rsid w:val="00C649F4"/>
    <w:rsid w:val="00C64C43"/>
    <w:rsid w:val="00C65096"/>
    <w:rsid w:val="00C65439"/>
    <w:rsid w:val="00C6580E"/>
    <w:rsid w:val="00C6633B"/>
    <w:rsid w:val="00C700CC"/>
    <w:rsid w:val="00C70685"/>
    <w:rsid w:val="00C70E5E"/>
    <w:rsid w:val="00C7110D"/>
    <w:rsid w:val="00C71CDE"/>
    <w:rsid w:val="00C71D23"/>
    <w:rsid w:val="00C72EF0"/>
    <w:rsid w:val="00C73C95"/>
    <w:rsid w:val="00C73CD4"/>
    <w:rsid w:val="00C7452C"/>
    <w:rsid w:val="00C74924"/>
    <w:rsid w:val="00C750AB"/>
    <w:rsid w:val="00C75C68"/>
    <w:rsid w:val="00C7699F"/>
    <w:rsid w:val="00C76C79"/>
    <w:rsid w:val="00C76D01"/>
    <w:rsid w:val="00C77802"/>
    <w:rsid w:val="00C80AEF"/>
    <w:rsid w:val="00C81596"/>
    <w:rsid w:val="00C81654"/>
    <w:rsid w:val="00C81CE6"/>
    <w:rsid w:val="00C81E2A"/>
    <w:rsid w:val="00C83029"/>
    <w:rsid w:val="00C834E1"/>
    <w:rsid w:val="00C838A7"/>
    <w:rsid w:val="00C838EA"/>
    <w:rsid w:val="00C83BDC"/>
    <w:rsid w:val="00C83E94"/>
    <w:rsid w:val="00C8446E"/>
    <w:rsid w:val="00C85295"/>
    <w:rsid w:val="00C85595"/>
    <w:rsid w:val="00C8577E"/>
    <w:rsid w:val="00C85B2F"/>
    <w:rsid w:val="00C85C60"/>
    <w:rsid w:val="00C85F7E"/>
    <w:rsid w:val="00C86B5E"/>
    <w:rsid w:val="00C86E96"/>
    <w:rsid w:val="00C87887"/>
    <w:rsid w:val="00C87F6C"/>
    <w:rsid w:val="00C9043C"/>
    <w:rsid w:val="00C904D4"/>
    <w:rsid w:val="00C90B9B"/>
    <w:rsid w:val="00C90D3B"/>
    <w:rsid w:val="00C90F8B"/>
    <w:rsid w:val="00C921CB"/>
    <w:rsid w:val="00C923FD"/>
    <w:rsid w:val="00C93983"/>
    <w:rsid w:val="00C94A38"/>
    <w:rsid w:val="00C94B1D"/>
    <w:rsid w:val="00C94BC3"/>
    <w:rsid w:val="00C94C71"/>
    <w:rsid w:val="00C95285"/>
    <w:rsid w:val="00C96006"/>
    <w:rsid w:val="00C96271"/>
    <w:rsid w:val="00C96907"/>
    <w:rsid w:val="00C96A4C"/>
    <w:rsid w:val="00C971BB"/>
    <w:rsid w:val="00C9761D"/>
    <w:rsid w:val="00C9772B"/>
    <w:rsid w:val="00C97813"/>
    <w:rsid w:val="00C97FD2"/>
    <w:rsid w:val="00C97FD4"/>
    <w:rsid w:val="00CA0CAF"/>
    <w:rsid w:val="00CA16C1"/>
    <w:rsid w:val="00CA170A"/>
    <w:rsid w:val="00CA2AAA"/>
    <w:rsid w:val="00CA3C15"/>
    <w:rsid w:val="00CA4F1D"/>
    <w:rsid w:val="00CA549A"/>
    <w:rsid w:val="00CA5704"/>
    <w:rsid w:val="00CA593D"/>
    <w:rsid w:val="00CA611C"/>
    <w:rsid w:val="00CA6345"/>
    <w:rsid w:val="00CA6805"/>
    <w:rsid w:val="00CA7A11"/>
    <w:rsid w:val="00CB110B"/>
    <w:rsid w:val="00CB1602"/>
    <w:rsid w:val="00CB1A62"/>
    <w:rsid w:val="00CB20D7"/>
    <w:rsid w:val="00CB2A20"/>
    <w:rsid w:val="00CB2CB0"/>
    <w:rsid w:val="00CB33E7"/>
    <w:rsid w:val="00CB3A5D"/>
    <w:rsid w:val="00CB3CDE"/>
    <w:rsid w:val="00CB4091"/>
    <w:rsid w:val="00CB40FB"/>
    <w:rsid w:val="00CB51A4"/>
    <w:rsid w:val="00CB51DE"/>
    <w:rsid w:val="00CB687C"/>
    <w:rsid w:val="00CB74ED"/>
    <w:rsid w:val="00CB7613"/>
    <w:rsid w:val="00CB7E96"/>
    <w:rsid w:val="00CB7EC1"/>
    <w:rsid w:val="00CC04D0"/>
    <w:rsid w:val="00CC0E76"/>
    <w:rsid w:val="00CC10DD"/>
    <w:rsid w:val="00CC1B59"/>
    <w:rsid w:val="00CC1FA4"/>
    <w:rsid w:val="00CC37FA"/>
    <w:rsid w:val="00CC4697"/>
    <w:rsid w:val="00CC4A28"/>
    <w:rsid w:val="00CC55E1"/>
    <w:rsid w:val="00CC5746"/>
    <w:rsid w:val="00CC576C"/>
    <w:rsid w:val="00CC620E"/>
    <w:rsid w:val="00CC74B2"/>
    <w:rsid w:val="00CC7D3C"/>
    <w:rsid w:val="00CC7E56"/>
    <w:rsid w:val="00CC7FCF"/>
    <w:rsid w:val="00CD0426"/>
    <w:rsid w:val="00CD0856"/>
    <w:rsid w:val="00CD1458"/>
    <w:rsid w:val="00CD15F0"/>
    <w:rsid w:val="00CD174F"/>
    <w:rsid w:val="00CD18E6"/>
    <w:rsid w:val="00CD247A"/>
    <w:rsid w:val="00CD280B"/>
    <w:rsid w:val="00CD2A27"/>
    <w:rsid w:val="00CD3878"/>
    <w:rsid w:val="00CD4F5A"/>
    <w:rsid w:val="00CD6225"/>
    <w:rsid w:val="00CD6848"/>
    <w:rsid w:val="00CD6C11"/>
    <w:rsid w:val="00CD774A"/>
    <w:rsid w:val="00CD7EF7"/>
    <w:rsid w:val="00CE041C"/>
    <w:rsid w:val="00CE04E0"/>
    <w:rsid w:val="00CE097F"/>
    <w:rsid w:val="00CE2052"/>
    <w:rsid w:val="00CE28FA"/>
    <w:rsid w:val="00CE2CC6"/>
    <w:rsid w:val="00CE2D25"/>
    <w:rsid w:val="00CE33A2"/>
    <w:rsid w:val="00CE3634"/>
    <w:rsid w:val="00CE4071"/>
    <w:rsid w:val="00CE43B1"/>
    <w:rsid w:val="00CE6389"/>
    <w:rsid w:val="00CE67D9"/>
    <w:rsid w:val="00CE6875"/>
    <w:rsid w:val="00CE6ADA"/>
    <w:rsid w:val="00CE7A14"/>
    <w:rsid w:val="00CE7F55"/>
    <w:rsid w:val="00CF05C0"/>
    <w:rsid w:val="00CF0A3D"/>
    <w:rsid w:val="00CF0CA7"/>
    <w:rsid w:val="00CF0D1B"/>
    <w:rsid w:val="00CF206B"/>
    <w:rsid w:val="00CF23FB"/>
    <w:rsid w:val="00CF2DE9"/>
    <w:rsid w:val="00CF3351"/>
    <w:rsid w:val="00CF36D1"/>
    <w:rsid w:val="00CF3BFD"/>
    <w:rsid w:val="00CF4728"/>
    <w:rsid w:val="00CF5699"/>
    <w:rsid w:val="00CF5A0C"/>
    <w:rsid w:val="00CF5BCF"/>
    <w:rsid w:val="00CF5EC5"/>
    <w:rsid w:val="00CF6115"/>
    <w:rsid w:val="00CF6B62"/>
    <w:rsid w:val="00CF7554"/>
    <w:rsid w:val="00D0054C"/>
    <w:rsid w:val="00D00608"/>
    <w:rsid w:val="00D0081C"/>
    <w:rsid w:val="00D0164D"/>
    <w:rsid w:val="00D01D16"/>
    <w:rsid w:val="00D01ECB"/>
    <w:rsid w:val="00D022EB"/>
    <w:rsid w:val="00D02753"/>
    <w:rsid w:val="00D02DFC"/>
    <w:rsid w:val="00D043CC"/>
    <w:rsid w:val="00D04510"/>
    <w:rsid w:val="00D0528A"/>
    <w:rsid w:val="00D054AC"/>
    <w:rsid w:val="00D059A9"/>
    <w:rsid w:val="00D067CB"/>
    <w:rsid w:val="00D075C4"/>
    <w:rsid w:val="00D07FFE"/>
    <w:rsid w:val="00D10429"/>
    <w:rsid w:val="00D104E3"/>
    <w:rsid w:val="00D106EE"/>
    <w:rsid w:val="00D110CD"/>
    <w:rsid w:val="00D11107"/>
    <w:rsid w:val="00D11220"/>
    <w:rsid w:val="00D116F5"/>
    <w:rsid w:val="00D118CA"/>
    <w:rsid w:val="00D12D4D"/>
    <w:rsid w:val="00D136CA"/>
    <w:rsid w:val="00D13961"/>
    <w:rsid w:val="00D139A3"/>
    <w:rsid w:val="00D1427B"/>
    <w:rsid w:val="00D1430E"/>
    <w:rsid w:val="00D146A9"/>
    <w:rsid w:val="00D146CA"/>
    <w:rsid w:val="00D14C2A"/>
    <w:rsid w:val="00D15124"/>
    <w:rsid w:val="00D1609B"/>
    <w:rsid w:val="00D1613A"/>
    <w:rsid w:val="00D16279"/>
    <w:rsid w:val="00D162DD"/>
    <w:rsid w:val="00D16510"/>
    <w:rsid w:val="00D16BD2"/>
    <w:rsid w:val="00D17581"/>
    <w:rsid w:val="00D17B5C"/>
    <w:rsid w:val="00D20C19"/>
    <w:rsid w:val="00D21527"/>
    <w:rsid w:val="00D21883"/>
    <w:rsid w:val="00D21BA6"/>
    <w:rsid w:val="00D2240E"/>
    <w:rsid w:val="00D225B8"/>
    <w:rsid w:val="00D22886"/>
    <w:rsid w:val="00D22A5B"/>
    <w:rsid w:val="00D22AFD"/>
    <w:rsid w:val="00D22BE4"/>
    <w:rsid w:val="00D235FA"/>
    <w:rsid w:val="00D23AF0"/>
    <w:rsid w:val="00D23CEB"/>
    <w:rsid w:val="00D24057"/>
    <w:rsid w:val="00D24939"/>
    <w:rsid w:val="00D253BF"/>
    <w:rsid w:val="00D26090"/>
    <w:rsid w:val="00D270F1"/>
    <w:rsid w:val="00D27827"/>
    <w:rsid w:val="00D305C4"/>
    <w:rsid w:val="00D30EB6"/>
    <w:rsid w:val="00D31AF0"/>
    <w:rsid w:val="00D32322"/>
    <w:rsid w:val="00D331D7"/>
    <w:rsid w:val="00D34392"/>
    <w:rsid w:val="00D343A5"/>
    <w:rsid w:val="00D347F7"/>
    <w:rsid w:val="00D34E3B"/>
    <w:rsid w:val="00D3516B"/>
    <w:rsid w:val="00D35F64"/>
    <w:rsid w:val="00D368BE"/>
    <w:rsid w:val="00D36953"/>
    <w:rsid w:val="00D37C37"/>
    <w:rsid w:val="00D406F3"/>
    <w:rsid w:val="00D40AC7"/>
    <w:rsid w:val="00D41B0A"/>
    <w:rsid w:val="00D41FE2"/>
    <w:rsid w:val="00D42406"/>
    <w:rsid w:val="00D42710"/>
    <w:rsid w:val="00D435C0"/>
    <w:rsid w:val="00D43A73"/>
    <w:rsid w:val="00D44388"/>
    <w:rsid w:val="00D44835"/>
    <w:rsid w:val="00D44D85"/>
    <w:rsid w:val="00D45F19"/>
    <w:rsid w:val="00D46016"/>
    <w:rsid w:val="00D4634A"/>
    <w:rsid w:val="00D4683B"/>
    <w:rsid w:val="00D47B36"/>
    <w:rsid w:val="00D50582"/>
    <w:rsid w:val="00D50C75"/>
    <w:rsid w:val="00D51DFD"/>
    <w:rsid w:val="00D5224E"/>
    <w:rsid w:val="00D52500"/>
    <w:rsid w:val="00D5299C"/>
    <w:rsid w:val="00D529CC"/>
    <w:rsid w:val="00D5362D"/>
    <w:rsid w:val="00D53D06"/>
    <w:rsid w:val="00D53DB0"/>
    <w:rsid w:val="00D54831"/>
    <w:rsid w:val="00D549D4"/>
    <w:rsid w:val="00D5500E"/>
    <w:rsid w:val="00D55516"/>
    <w:rsid w:val="00D558D1"/>
    <w:rsid w:val="00D56825"/>
    <w:rsid w:val="00D57194"/>
    <w:rsid w:val="00D577A3"/>
    <w:rsid w:val="00D57DD9"/>
    <w:rsid w:val="00D60BBF"/>
    <w:rsid w:val="00D60F1C"/>
    <w:rsid w:val="00D6109E"/>
    <w:rsid w:val="00D61F77"/>
    <w:rsid w:val="00D6239C"/>
    <w:rsid w:val="00D6266E"/>
    <w:rsid w:val="00D62CF4"/>
    <w:rsid w:val="00D6319B"/>
    <w:rsid w:val="00D63F0F"/>
    <w:rsid w:val="00D63F7C"/>
    <w:rsid w:val="00D65369"/>
    <w:rsid w:val="00D65D18"/>
    <w:rsid w:val="00D6668F"/>
    <w:rsid w:val="00D66943"/>
    <w:rsid w:val="00D706D9"/>
    <w:rsid w:val="00D71972"/>
    <w:rsid w:val="00D71A5B"/>
    <w:rsid w:val="00D7280C"/>
    <w:rsid w:val="00D72C69"/>
    <w:rsid w:val="00D73377"/>
    <w:rsid w:val="00D735D4"/>
    <w:rsid w:val="00D74332"/>
    <w:rsid w:val="00D74C87"/>
    <w:rsid w:val="00D74D2D"/>
    <w:rsid w:val="00D750D3"/>
    <w:rsid w:val="00D755DD"/>
    <w:rsid w:val="00D7646D"/>
    <w:rsid w:val="00D7682D"/>
    <w:rsid w:val="00D76FD0"/>
    <w:rsid w:val="00D77C23"/>
    <w:rsid w:val="00D77DB6"/>
    <w:rsid w:val="00D806EF"/>
    <w:rsid w:val="00D808DA"/>
    <w:rsid w:val="00D81064"/>
    <w:rsid w:val="00D812CE"/>
    <w:rsid w:val="00D81C68"/>
    <w:rsid w:val="00D82D96"/>
    <w:rsid w:val="00D82E3F"/>
    <w:rsid w:val="00D82FFA"/>
    <w:rsid w:val="00D83330"/>
    <w:rsid w:val="00D843E9"/>
    <w:rsid w:val="00D846F8"/>
    <w:rsid w:val="00D86E32"/>
    <w:rsid w:val="00D87A7E"/>
    <w:rsid w:val="00D87BA9"/>
    <w:rsid w:val="00D90282"/>
    <w:rsid w:val="00D90BAF"/>
    <w:rsid w:val="00D91705"/>
    <w:rsid w:val="00D91898"/>
    <w:rsid w:val="00D921B2"/>
    <w:rsid w:val="00D92267"/>
    <w:rsid w:val="00D92E4C"/>
    <w:rsid w:val="00D94187"/>
    <w:rsid w:val="00D94F2D"/>
    <w:rsid w:val="00D950D4"/>
    <w:rsid w:val="00D95E0B"/>
    <w:rsid w:val="00D95FDA"/>
    <w:rsid w:val="00D96094"/>
    <w:rsid w:val="00D96B01"/>
    <w:rsid w:val="00D96C9B"/>
    <w:rsid w:val="00D97416"/>
    <w:rsid w:val="00DA0BF1"/>
    <w:rsid w:val="00DA13A6"/>
    <w:rsid w:val="00DA150D"/>
    <w:rsid w:val="00DA1BE5"/>
    <w:rsid w:val="00DA3020"/>
    <w:rsid w:val="00DA36B1"/>
    <w:rsid w:val="00DA389D"/>
    <w:rsid w:val="00DA3C55"/>
    <w:rsid w:val="00DA3F95"/>
    <w:rsid w:val="00DA4613"/>
    <w:rsid w:val="00DA48C6"/>
    <w:rsid w:val="00DA4B10"/>
    <w:rsid w:val="00DA4ED3"/>
    <w:rsid w:val="00DA51A0"/>
    <w:rsid w:val="00DA5A30"/>
    <w:rsid w:val="00DA5AD0"/>
    <w:rsid w:val="00DA5C8C"/>
    <w:rsid w:val="00DA6445"/>
    <w:rsid w:val="00DA6497"/>
    <w:rsid w:val="00DA64EE"/>
    <w:rsid w:val="00DA6ED3"/>
    <w:rsid w:val="00DA6FFC"/>
    <w:rsid w:val="00DA7381"/>
    <w:rsid w:val="00DB1072"/>
    <w:rsid w:val="00DB112F"/>
    <w:rsid w:val="00DB12BE"/>
    <w:rsid w:val="00DB1879"/>
    <w:rsid w:val="00DB3080"/>
    <w:rsid w:val="00DB38F0"/>
    <w:rsid w:val="00DB39B8"/>
    <w:rsid w:val="00DB3F5F"/>
    <w:rsid w:val="00DB5757"/>
    <w:rsid w:val="00DB5AD0"/>
    <w:rsid w:val="00DB62FE"/>
    <w:rsid w:val="00DB7642"/>
    <w:rsid w:val="00DB7883"/>
    <w:rsid w:val="00DB7E47"/>
    <w:rsid w:val="00DC068D"/>
    <w:rsid w:val="00DC06D7"/>
    <w:rsid w:val="00DC17C5"/>
    <w:rsid w:val="00DC1FE8"/>
    <w:rsid w:val="00DC225E"/>
    <w:rsid w:val="00DC28CD"/>
    <w:rsid w:val="00DC36A0"/>
    <w:rsid w:val="00DC3701"/>
    <w:rsid w:val="00DC3B1E"/>
    <w:rsid w:val="00DC3C2F"/>
    <w:rsid w:val="00DC58B9"/>
    <w:rsid w:val="00DC5B24"/>
    <w:rsid w:val="00DC646C"/>
    <w:rsid w:val="00DC720D"/>
    <w:rsid w:val="00DC72F7"/>
    <w:rsid w:val="00DC7DC6"/>
    <w:rsid w:val="00DD07F3"/>
    <w:rsid w:val="00DD089B"/>
    <w:rsid w:val="00DD0D18"/>
    <w:rsid w:val="00DD0F82"/>
    <w:rsid w:val="00DD11DE"/>
    <w:rsid w:val="00DD1785"/>
    <w:rsid w:val="00DD23AD"/>
    <w:rsid w:val="00DD3EAC"/>
    <w:rsid w:val="00DD3FD4"/>
    <w:rsid w:val="00DD4457"/>
    <w:rsid w:val="00DD459A"/>
    <w:rsid w:val="00DD48D7"/>
    <w:rsid w:val="00DD52D3"/>
    <w:rsid w:val="00DD56D5"/>
    <w:rsid w:val="00DD5C59"/>
    <w:rsid w:val="00DD6139"/>
    <w:rsid w:val="00DD7741"/>
    <w:rsid w:val="00DD7A79"/>
    <w:rsid w:val="00DE089F"/>
    <w:rsid w:val="00DE1290"/>
    <w:rsid w:val="00DE2109"/>
    <w:rsid w:val="00DE26C4"/>
    <w:rsid w:val="00DE2916"/>
    <w:rsid w:val="00DE4348"/>
    <w:rsid w:val="00DE4D3A"/>
    <w:rsid w:val="00DE5103"/>
    <w:rsid w:val="00DE518F"/>
    <w:rsid w:val="00DE64B5"/>
    <w:rsid w:val="00DE67E3"/>
    <w:rsid w:val="00DE7281"/>
    <w:rsid w:val="00DE79A3"/>
    <w:rsid w:val="00DE7EE7"/>
    <w:rsid w:val="00DF00A9"/>
    <w:rsid w:val="00DF032A"/>
    <w:rsid w:val="00DF0FB0"/>
    <w:rsid w:val="00DF2755"/>
    <w:rsid w:val="00DF2D45"/>
    <w:rsid w:val="00DF35D4"/>
    <w:rsid w:val="00DF36AB"/>
    <w:rsid w:val="00DF37C1"/>
    <w:rsid w:val="00DF3F69"/>
    <w:rsid w:val="00DF3FCF"/>
    <w:rsid w:val="00DF450D"/>
    <w:rsid w:val="00DF48AC"/>
    <w:rsid w:val="00DF4C38"/>
    <w:rsid w:val="00DF552F"/>
    <w:rsid w:val="00DF5BEA"/>
    <w:rsid w:val="00DF6157"/>
    <w:rsid w:val="00DF7EB9"/>
    <w:rsid w:val="00DF7F2D"/>
    <w:rsid w:val="00E00728"/>
    <w:rsid w:val="00E0096D"/>
    <w:rsid w:val="00E009DC"/>
    <w:rsid w:val="00E0118D"/>
    <w:rsid w:val="00E0210B"/>
    <w:rsid w:val="00E027EE"/>
    <w:rsid w:val="00E02CFD"/>
    <w:rsid w:val="00E02D4F"/>
    <w:rsid w:val="00E03AD3"/>
    <w:rsid w:val="00E03EC2"/>
    <w:rsid w:val="00E0533D"/>
    <w:rsid w:val="00E05A12"/>
    <w:rsid w:val="00E05EF7"/>
    <w:rsid w:val="00E07395"/>
    <w:rsid w:val="00E073F8"/>
    <w:rsid w:val="00E1006B"/>
    <w:rsid w:val="00E1027D"/>
    <w:rsid w:val="00E109EC"/>
    <w:rsid w:val="00E10EB9"/>
    <w:rsid w:val="00E11005"/>
    <w:rsid w:val="00E117B8"/>
    <w:rsid w:val="00E11D0D"/>
    <w:rsid w:val="00E12DD3"/>
    <w:rsid w:val="00E13D64"/>
    <w:rsid w:val="00E14206"/>
    <w:rsid w:val="00E1441C"/>
    <w:rsid w:val="00E14759"/>
    <w:rsid w:val="00E14D34"/>
    <w:rsid w:val="00E15B55"/>
    <w:rsid w:val="00E162A4"/>
    <w:rsid w:val="00E1636A"/>
    <w:rsid w:val="00E16A23"/>
    <w:rsid w:val="00E20A01"/>
    <w:rsid w:val="00E20EC8"/>
    <w:rsid w:val="00E22146"/>
    <w:rsid w:val="00E222DC"/>
    <w:rsid w:val="00E22977"/>
    <w:rsid w:val="00E22D8F"/>
    <w:rsid w:val="00E232A3"/>
    <w:rsid w:val="00E23965"/>
    <w:rsid w:val="00E24345"/>
    <w:rsid w:val="00E2460C"/>
    <w:rsid w:val="00E247BC"/>
    <w:rsid w:val="00E252A8"/>
    <w:rsid w:val="00E25ADC"/>
    <w:rsid w:val="00E2655C"/>
    <w:rsid w:val="00E273AD"/>
    <w:rsid w:val="00E273EF"/>
    <w:rsid w:val="00E2744C"/>
    <w:rsid w:val="00E27ECA"/>
    <w:rsid w:val="00E3025D"/>
    <w:rsid w:val="00E30379"/>
    <w:rsid w:val="00E30673"/>
    <w:rsid w:val="00E30A6E"/>
    <w:rsid w:val="00E313E8"/>
    <w:rsid w:val="00E3464F"/>
    <w:rsid w:val="00E35249"/>
    <w:rsid w:val="00E35639"/>
    <w:rsid w:val="00E3577E"/>
    <w:rsid w:val="00E35CE6"/>
    <w:rsid w:val="00E36177"/>
    <w:rsid w:val="00E371D1"/>
    <w:rsid w:val="00E371E2"/>
    <w:rsid w:val="00E37689"/>
    <w:rsid w:val="00E37726"/>
    <w:rsid w:val="00E377DF"/>
    <w:rsid w:val="00E37ADB"/>
    <w:rsid w:val="00E402D2"/>
    <w:rsid w:val="00E40DF6"/>
    <w:rsid w:val="00E4175E"/>
    <w:rsid w:val="00E43C09"/>
    <w:rsid w:val="00E43C48"/>
    <w:rsid w:val="00E44D3E"/>
    <w:rsid w:val="00E44FA0"/>
    <w:rsid w:val="00E45079"/>
    <w:rsid w:val="00E45809"/>
    <w:rsid w:val="00E46CAE"/>
    <w:rsid w:val="00E46D74"/>
    <w:rsid w:val="00E46E50"/>
    <w:rsid w:val="00E472F2"/>
    <w:rsid w:val="00E477AA"/>
    <w:rsid w:val="00E501ED"/>
    <w:rsid w:val="00E5048B"/>
    <w:rsid w:val="00E50818"/>
    <w:rsid w:val="00E50E7F"/>
    <w:rsid w:val="00E51108"/>
    <w:rsid w:val="00E5296D"/>
    <w:rsid w:val="00E529E6"/>
    <w:rsid w:val="00E52B5E"/>
    <w:rsid w:val="00E52BE5"/>
    <w:rsid w:val="00E533E6"/>
    <w:rsid w:val="00E53A50"/>
    <w:rsid w:val="00E53B90"/>
    <w:rsid w:val="00E542A5"/>
    <w:rsid w:val="00E5465B"/>
    <w:rsid w:val="00E54D49"/>
    <w:rsid w:val="00E550B4"/>
    <w:rsid w:val="00E55564"/>
    <w:rsid w:val="00E55EB9"/>
    <w:rsid w:val="00E56EE5"/>
    <w:rsid w:val="00E57748"/>
    <w:rsid w:val="00E5776D"/>
    <w:rsid w:val="00E57A14"/>
    <w:rsid w:val="00E602A7"/>
    <w:rsid w:val="00E602DB"/>
    <w:rsid w:val="00E60802"/>
    <w:rsid w:val="00E60A1D"/>
    <w:rsid w:val="00E60B8A"/>
    <w:rsid w:val="00E61358"/>
    <w:rsid w:val="00E629F9"/>
    <w:rsid w:val="00E63466"/>
    <w:rsid w:val="00E6438D"/>
    <w:rsid w:val="00E64C74"/>
    <w:rsid w:val="00E65126"/>
    <w:rsid w:val="00E656CE"/>
    <w:rsid w:val="00E6571B"/>
    <w:rsid w:val="00E67C60"/>
    <w:rsid w:val="00E700F3"/>
    <w:rsid w:val="00E70EE1"/>
    <w:rsid w:val="00E71357"/>
    <w:rsid w:val="00E71919"/>
    <w:rsid w:val="00E725E8"/>
    <w:rsid w:val="00E72704"/>
    <w:rsid w:val="00E728AC"/>
    <w:rsid w:val="00E73A97"/>
    <w:rsid w:val="00E73D05"/>
    <w:rsid w:val="00E73D37"/>
    <w:rsid w:val="00E73E5C"/>
    <w:rsid w:val="00E740C8"/>
    <w:rsid w:val="00E74E69"/>
    <w:rsid w:val="00E75696"/>
    <w:rsid w:val="00E7571A"/>
    <w:rsid w:val="00E7698B"/>
    <w:rsid w:val="00E76B17"/>
    <w:rsid w:val="00E773BE"/>
    <w:rsid w:val="00E77584"/>
    <w:rsid w:val="00E77A6B"/>
    <w:rsid w:val="00E80631"/>
    <w:rsid w:val="00E807E9"/>
    <w:rsid w:val="00E8099C"/>
    <w:rsid w:val="00E817D1"/>
    <w:rsid w:val="00E81C0D"/>
    <w:rsid w:val="00E8305C"/>
    <w:rsid w:val="00E8317D"/>
    <w:rsid w:val="00E831DC"/>
    <w:rsid w:val="00E83752"/>
    <w:rsid w:val="00E8398A"/>
    <w:rsid w:val="00E83E17"/>
    <w:rsid w:val="00E844D7"/>
    <w:rsid w:val="00E86BFE"/>
    <w:rsid w:val="00E877A0"/>
    <w:rsid w:val="00E87EB8"/>
    <w:rsid w:val="00E90A71"/>
    <w:rsid w:val="00E90CCF"/>
    <w:rsid w:val="00E91197"/>
    <w:rsid w:val="00E913AD"/>
    <w:rsid w:val="00E91561"/>
    <w:rsid w:val="00E91DBC"/>
    <w:rsid w:val="00E928EF"/>
    <w:rsid w:val="00E92AEC"/>
    <w:rsid w:val="00E92CEA"/>
    <w:rsid w:val="00E93980"/>
    <w:rsid w:val="00E93EBC"/>
    <w:rsid w:val="00E94F85"/>
    <w:rsid w:val="00E957A8"/>
    <w:rsid w:val="00E95EBF"/>
    <w:rsid w:val="00E97EDB"/>
    <w:rsid w:val="00EA076C"/>
    <w:rsid w:val="00EA0A12"/>
    <w:rsid w:val="00EA1D05"/>
    <w:rsid w:val="00EA1F5B"/>
    <w:rsid w:val="00EA27B8"/>
    <w:rsid w:val="00EA29D9"/>
    <w:rsid w:val="00EA3C51"/>
    <w:rsid w:val="00EA4122"/>
    <w:rsid w:val="00EA56BE"/>
    <w:rsid w:val="00EA5718"/>
    <w:rsid w:val="00EA57C8"/>
    <w:rsid w:val="00EA5801"/>
    <w:rsid w:val="00EA61B7"/>
    <w:rsid w:val="00EA65B9"/>
    <w:rsid w:val="00EA6615"/>
    <w:rsid w:val="00EA6EDF"/>
    <w:rsid w:val="00EA6F98"/>
    <w:rsid w:val="00EA7809"/>
    <w:rsid w:val="00EA797B"/>
    <w:rsid w:val="00EA7981"/>
    <w:rsid w:val="00EA7BDB"/>
    <w:rsid w:val="00EB0E82"/>
    <w:rsid w:val="00EB13F8"/>
    <w:rsid w:val="00EB2054"/>
    <w:rsid w:val="00EB212F"/>
    <w:rsid w:val="00EB2931"/>
    <w:rsid w:val="00EB29BE"/>
    <w:rsid w:val="00EB2D46"/>
    <w:rsid w:val="00EB2D47"/>
    <w:rsid w:val="00EB2E72"/>
    <w:rsid w:val="00EB3A6D"/>
    <w:rsid w:val="00EB3E1E"/>
    <w:rsid w:val="00EB42D1"/>
    <w:rsid w:val="00EB43D3"/>
    <w:rsid w:val="00EB4762"/>
    <w:rsid w:val="00EB49DF"/>
    <w:rsid w:val="00EB5BD3"/>
    <w:rsid w:val="00EB6064"/>
    <w:rsid w:val="00EB633F"/>
    <w:rsid w:val="00EB6566"/>
    <w:rsid w:val="00EB6627"/>
    <w:rsid w:val="00EB68A7"/>
    <w:rsid w:val="00EB7169"/>
    <w:rsid w:val="00EB71EE"/>
    <w:rsid w:val="00EB75E1"/>
    <w:rsid w:val="00EB7B7A"/>
    <w:rsid w:val="00EB7CC8"/>
    <w:rsid w:val="00EC10B5"/>
    <w:rsid w:val="00EC15C6"/>
    <w:rsid w:val="00EC1638"/>
    <w:rsid w:val="00EC1814"/>
    <w:rsid w:val="00EC2693"/>
    <w:rsid w:val="00EC277F"/>
    <w:rsid w:val="00EC2784"/>
    <w:rsid w:val="00EC2DB3"/>
    <w:rsid w:val="00EC3053"/>
    <w:rsid w:val="00EC3354"/>
    <w:rsid w:val="00EC3621"/>
    <w:rsid w:val="00EC38E3"/>
    <w:rsid w:val="00EC465E"/>
    <w:rsid w:val="00EC4A36"/>
    <w:rsid w:val="00EC54D8"/>
    <w:rsid w:val="00EC5CC1"/>
    <w:rsid w:val="00EC5F51"/>
    <w:rsid w:val="00EC63A3"/>
    <w:rsid w:val="00EC6D1A"/>
    <w:rsid w:val="00EC7D21"/>
    <w:rsid w:val="00EC7D4B"/>
    <w:rsid w:val="00EC7D81"/>
    <w:rsid w:val="00ED0B7C"/>
    <w:rsid w:val="00ED0EE9"/>
    <w:rsid w:val="00ED1993"/>
    <w:rsid w:val="00ED250D"/>
    <w:rsid w:val="00ED2817"/>
    <w:rsid w:val="00ED31D8"/>
    <w:rsid w:val="00ED3637"/>
    <w:rsid w:val="00ED3CB8"/>
    <w:rsid w:val="00ED4E00"/>
    <w:rsid w:val="00ED5615"/>
    <w:rsid w:val="00ED561D"/>
    <w:rsid w:val="00ED58C2"/>
    <w:rsid w:val="00ED6BE8"/>
    <w:rsid w:val="00ED6C23"/>
    <w:rsid w:val="00ED6F4B"/>
    <w:rsid w:val="00ED7B49"/>
    <w:rsid w:val="00EE0610"/>
    <w:rsid w:val="00EE0FEF"/>
    <w:rsid w:val="00EE1469"/>
    <w:rsid w:val="00EE1713"/>
    <w:rsid w:val="00EE1891"/>
    <w:rsid w:val="00EE336E"/>
    <w:rsid w:val="00EE35C5"/>
    <w:rsid w:val="00EE3BF2"/>
    <w:rsid w:val="00EE4B59"/>
    <w:rsid w:val="00EE5B86"/>
    <w:rsid w:val="00EE6520"/>
    <w:rsid w:val="00EE7735"/>
    <w:rsid w:val="00EF0598"/>
    <w:rsid w:val="00EF094A"/>
    <w:rsid w:val="00EF1510"/>
    <w:rsid w:val="00EF1930"/>
    <w:rsid w:val="00EF1AA7"/>
    <w:rsid w:val="00EF30CC"/>
    <w:rsid w:val="00EF3C62"/>
    <w:rsid w:val="00EF4CA2"/>
    <w:rsid w:val="00EF4D19"/>
    <w:rsid w:val="00EF5496"/>
    <w:rsid w:val="00EF633A"/>
    <w:rsid w:val="00EF672C"/>
    <w:rsid w:val="00EF6741"/>
    <w:rsid w:val="00EF6C48"/>
    <w:rsid w:val="00EF6CFF"/>
    <w:rsid w:val="00EF79F6"/>
    <w:rsid w:val="00F00EE0"/>
    <w:rsid w:val="00F00F1B"/>
    <w:rsid w:val="00F01F77"/>
    <w:rsid w:val="00F02987"/>
    <w:rsid w:val="00F02D1D"/>
    <w:rsid w:val="00F04DBE"/>
    <w:rsid w:val="00F0521A"/>
    <w:rsid w:val="00F05F28"/>
    <w:rsid w:val="00F06224"/>
    <w:rsid w:val="00F0668B"/>
    <w:rsid w:val="00F06C26"/>
    <w:rsid w:val="00F070CE"/>
    <w:rsid w:val="00F109B6"/>
    <w:rsid w:val="00F1172A"/>
    <w:rsid w:val="00F11ECC"/>
    <w:rsid w:val="00F11ED7"/>
    <w:rsid w:val="00F12ED5"/>
    <w:rsid w:val="00F1396F"/>
    <w:rsid w:val="00F13CDD"/>
    <w:rsid w:val="00F13D03"/>
    <w:rsid w:val="00F150D8"/>
    <w:rsid w:val="00F15716"/>
    <w:rsid w:val="00F16E22"/>
    <w:rsid w:val="00F17297"/>
    <w:rsid w:val="00F17F48"/>
    <w:rsid w:val="00F20D2C"/>
    <w:rsid w:val="00F21182"/>
    <w:rsid w:val="00F21466"/>
    <w:rsid w:val="00F215EB"/>
    <w:rsid w:val="00F222F8"/>
    <w:rsid w:val="00F22824"/>
    <w:rsid w:val="00F22A5C"/>
    <w:rsid w:val="00F23404"/>
    <w:rsid w:val="00F241A3"/>
    <w:rsid w:val="00F24AB6"/>
    <w:rsid w:val="00F24D79"/>
    <w:rsid w:val="00F25FD1"/>
    <w:rsid w:val="00F26457"/>
    <w:rsid w:val="00F26594"/>
    <w:rsid w:val="00F3005D"/>
    <w:rsid w:val="00F30F6E"/>
    <w:rsid w:val="00F31AFB"/>
    <w:rsid w:val="00F320B1"/>
    <w:rsid w:val="00F3237E"/>
    <w:rsid w:val="00F32F41"/>
    <w:rsid w:val="00F3319D"/>
    <w:rsid w:val="00F339A9"/>
    <w:rsid w:val="00F33A31"/>
    <w:rsid w:val="00F33C0E"/>
    <w:rsid w:val="00F34C2F"/>
    <w:rsid w:val="00F34EFF"/>
    <w:rsid w:val="00F358B3"/>
    <w:rsid w:val="00F35FC4"/>
    <w:rsid w:val="00F360C0"/>
    <w:rsid w:val="00F366F5"/>
    <w:rsid w:val="00F36B5F"/>
    <w:rsid w:val="00F37239"/>
    <w:rsid w:val="00F4071A"/>
    <w:rsid w:val="00F41245"/>
    <w:rsid w:val="00F416E8"/>
    <w:rsid w:val="00F4176D"/>
    <w:rsid w:val="00F423FC"/>
    <w:rsid w:val="00F42499"/>
    <w:rsid w:val="00F428A9"/>
    <w:rsid w:val="00F42A93"/>
    <w:rsid w:val="00F44341"/>
    <w:rsid w:val="00F44C03"/>
    <w:rsid w:val="00F45116"/>
    <w:rsid w:val="00F45239"/>
    <w:rsid w:val="00F46A9C"/>
    <w:rsid w:val="00F473F1"/>
    <w:rsid w:val="00F504C0"/>
    <w:rsid w:val="00F507BE"/>
    <w:rsid w:val="00F5086F"/>
    <w:rsid w:val="00F50FB7"/>
    <w:rsid w:val="00F5188E"/>
    <w:rsid w:val="00F52747"/>
    <w:rsid w:val="00F539AD"/>
    <w:rsid w:val="00F54926"/>
    <w:rsid w:val="00F54E43"/>
    <w:rsid w:val="00F56FA3"/>
    <w:rsid w:val="00F57A34"/>
    <w:rsid w:val="00F57F25"/>
    <w:rsid w:val="00F600E4"/>
    <w:rsid w:val="00F601CF"/>
    <w:rsid w:val="00F60243"/>
    <w:rsid w:val="00F60E9A"/>
    <w:rsid w:val="00F6238E"/>
    <w:rsid w:val="00F625C3"/>
    <w:rsid w:val="00F62B93"/>
    <w:rsid w:val="00F62F88"/>
    <w:rsid w:val="00F63009"/>
    <w:rsid w:val="00F631D5"/>
    <w:rsid w:val="00F637B0"/>
    <w:rsid w:val="00F63CE6"/>
    <w:rsid w:val="00F65708"/>
    <w:rsid w:val="00F65D08"/>
    <w:rsid w:val="00F66376"/>
    <w:rsid w:val="00F66575"/>
    <w:rsid w:val="00F668A0"/>
    <w:rsid w:val="00F67654"/>
    <w:rsid w:val="00F70118"/>
    <w:rsid w:val="00F70245"/>
    <w:rsid w:val="00F706E0"/>
    <w:rsid w:val="00F71196"/>
    <w:rsid w:val="00F71661"/>
    <w:rsid w:val="00F71869"/>
    <w:rsid w:val="00F72701"/>
    <w:rsid w:val="00F73A21"/>
    <w:rsid w:val="00F740CC"/>
    <w:rsid w:val="00F74434"/>
    <w:rsid w:val="00F74D49"/>
    <w:rsid w:val="00F753E5"/>
    <w:rsid w:val="00F758CA"/>
    <w:rsid w:val="00F75BAB"/>
    <w:rsid w:val="00F75FF5"/>
    <w:rsid w:val="00F77124"/>
    <w:rsid w:val="00F771F9"/>
    <w:rsid w:val="00F80119"/>
    <w:rsid w:val="00F80315"/>
    <w:rsid w:val="00F805E7"/>
    <w:rsid w:val="00F80A5E"/>
    <w:rsid w:val="00F80B1B"/>
    <w:rsid w:val="00F8144A"/>
    <w:rsid w:val="00F81BA6"/>
    <w:rsid w:val="00F82214"/>
    <w:rsid w:val="00F82B75"/>
    <w:rsid w:val="00F82E88"/>
    <w:rsid w:val="00F83042"/>
    <w:rsid w:val="00F83920"/>
    <w:rsid w:val="00F84014"/>
    <w:rsid w:val="00F8447F"/>
    <w:rsid w:val="00F846B4"/>
    <w:rsid w:val="00F85C2B"/>
    <w:rsid w:val="00F85D5F"/>
    <w:rsid w:val="00F8626B"/>
    <w:rsid w:val="00F86498"/>
    <w:rsid w:val="00F86699"/>
    <w:rsid w:val="00F86916"/>
    <w:rsid w:val="00F86E2D"/>
    <w:rsid w:val="00F87602"/>
    <w:rsid w:val="00F9024A"/>
    <w:rsid w:val="00F9041B"/>
    <w:rsid w:val="00F908BE"/>
    <w:rsid w:val="00F90ED7"/>
    <w:rsid w:val="00F91132"/>
    <w:rsid w:val="00F91409"/>
    <w:rsid w:val="00F92345"/>
    <w:rsid w:val="00F926A9"/>
    <w:rsid w:val="00F92A28"/>
    <w:rsid w:val="00F92F1F"/>
    <w:rsid w:val="00F936D7"/>
    <w:rsid w:val="00F93E3E"/>
    <w:rsid w:val="00F95017"/>
    <w:rsid w:val="00F95CBC"/>
    <w:rsid w:val="00F95E90"/>
    <w:rsid w:val="00F95F27"/>
    <w:rsid w:val="00F9621C"/>
    <w:rsid w:val="00F96CEF"/>
    <w:rsid w:val="00F974A9"/>
    <w:rsid w:val="00F97CC3"/>
    <w:rsid w:val="00FA030C"/>
    <w:rsid w:val="00FA09E6"/>
    <w:rsid w:val="00FA0DCE"/>
    <w:rsid w:val="00FA0E1F"/>
    <w:rsid w:val="00FA0F65"/>
    <w:rsid w:val="00FA183A"/>
    <w:rsid w:val="00FA1E04"/>
    <w:rsid w:val="00FA1E9C"/>
    <w:rsid w:val="00FA21FA"/>
    <w:rsid w:val="00FA2244"/>
    <w:rsid w:val="00FA2313"/>
    <w:rsid w:val="00FA2DEA"/>
    <w:rsid w:val="00FA2EE9"/>
    <w:rsid w:val="00FA39FB"/>
    <w:rsid w:val="00FA3B3F"/>
    <w:rsid w:val="00FA481A"/>
    <w:rsid w:val="00FA56AB"/>
    <w:rsid w:val="00FB01E9"/>
    <w:rsid w:val="00FB0EB8"/>
    <w:rsid w:val="00FB1722"/>
    <w:rsid w:val="00FB1DBC"/>
    <w:rsid w:val="00FB2A57"/>
    <w:rsid w:val="00FB2B8C"/>
    <w:rsid w:val="00FB3BE3"/>
    <w:rsid w:val="00FB408E"/>
    <w:rsid w:val="00FB416A"/>
    <w:rsid w:val="00FB4D29"/>
    <w:rsid w:val="00FB4E3B"/>
    <w:rsid w:val="00FB545B"/>
    <w:rsid w:val="00FB56CD"/>
    <w:rsid w:val="00FB73A6"/>
    <w:rsid w:val="00FB7738"/>
    <w:rsid w:val="00FB79B9"/>
    <w:rsid w:val="00FC02F0"/>
    <w:rsid w:val="00FC0E9F"/>
    <w:rsid w:val="00FC1951"/>
    <w:rsid w:val="00FC1AB8"/>
    <w:rsid w:val="00FC237D"/>
    <w:rsid w:val="00FC293D"/>
    <w:rsid w:val="00FC2D1E"/>
    <w:rsid w:val="00FC3032"/>
    <w:rsid w:val="00FC32AC"/>
    <w:rsid w:val="00FC3BC2"/>
    <w:rsid w:val="00FC3E02"/>
    <w:rsid w:val="00FC3F47"/>
    <w:rsid w:val="00FC57F4"/>
    <w:rsid w:val="00FC5D52"/>
    <w:rsid w:val="00FC66AA"/>
    <w:rsid w:val="00FC732B"/>
    <w:rsid w:val="00FC75F3"/>
    <w:rsid w:val="00FD0713"/>
    <w:rsid w:val="00FD07BA"/>
    <w:rsid w:val="00FD13DD"/>
    <w:rsid w:val="00FD158B"/>
    <w:rsid w:val="00FD1B58"/>
    <w:rsid w:val="00FD2EB8"/>
    <w:rsid w:val="00FD31E6"/>
    <w:rsid w:val="00FD32BB"/>
    <w:rsid w:val="00FD3E85"/>
    <w:rsid w:val="00FD518A"/>
    <w:rsid w:val="00FD51A6"/>
    <w:rsid w:val="00FD555C"/>
    <w:rsid w:val="00FD569F"/>
    <w:rsid w:val="00FD575C"/>
    <w:rsid w:val="00FD5D0A"/>
    <w:rsid w:val="00FD757C"/>
    <w:rsid w:val="00FD761E"/>
    <w:rsid w:val="00FD7DDB"/>
    <w:rsid w:val="00FD7E02"/>
    <w:rsid w:val="00FD7E15"/>
    <w:rsid w:val="00FE04FD"/>
    <w:rsid w:val="00FE1DD0"/>
    <w:rsid w:val="00FE24D8"/>
    <w:rsid w:val="00FE261D"/>
    <w:rsid w:val="00FE26B1"/>
    <w:rsid w:val="00FE28E7"/>
    <w:rsid w:val="00FE2C56"/>
    <w:rsid w:val="00FE30D2"/>
    <w:rsid w:val="00FE372E"/>
    <w:rsid w:val="00FE378D"/>
    <w:rsid w:val="00FE3C0F"/>
    <w:rsid w:val="00FE44D5"/>
    <w:rsid w:val="00FE4D9A"/>
    <w:rsid w:val="00FE4DCA"/>
    <w:rsid w:val="00FE4E4D"/>
    <w:rsid w:val="00FE51F9"/>
    <w:rsid w:val="00FE5E28"/>
    <w:rsid w:val="00FE5ECA"/>
    <w:rsid w:val="00FE6160"/>
    <w:rsid w:val="00FE641C"/>
    <w:rsid w:val="00FE76F4"/>
    <w:rsid w:val="00FF081D"/>
    <w:rsid w:val="00FF1AB0"/>
    <w:rsid w:val="00FF1E56"/>
    <w:rsid w:val="00FF1FA9"/>
    <w:rsid w:val="00FF21CB"/>
    <w:rsid w:val="00FF2540"/>
    <w:rsid w:val="00FF271E"/>
    <w:rsid w:val="00FF273D"/>
    <w:rsid w:val="00FF2838"/>
    <w:rsid w:val="00FF29AE"/>
    <w:rsid w:val="00FF3723"/>
    <w:rsid w:val="00FF3DE5"/>
    <w:rsid w:val="00FF47F7"/>
    <w:rsid w:val="00FF4EBB"/>
    <w:rsid w:val="00FF4FE1"/>
    <w:rsid w:val="00FF5B1E"/>
    <w:rsid w:val="00FF6119"/>
    <w:rsid w:val="00FF66E9"/>
    <w:rsid w:val="00FF678A"/>
    <w:rsid w:val="00FF7F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024B"/>
  </w:style>
  <w:style w:type="paragraph" w:styleId="Heading1">
    <w:name w:val="heading 1"/>
    <w:basedOn w:val="Normal"/>
    <w:next w:val="Normal"/>
    <w:link w:val="Heading1Char"/>
    <w:uiPriority w:val="9"/>
    <w:qFormat/>
    <w:rsid w:val="00D3695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412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1A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1AAD"/>
  </w:style>
  <w:style w:type="paragraph" w:styleId="Footer">
    <w:name w:val="footer"/>
    <w:basedOn w:val="Normal"/>
    <w:link w:val="FooterChar"/>
    <w:uiPriority w:val="99"/>
    <w:unhideWhenUsed/>
    <w:rsid w:val="00311A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1AAD"/>
  </w:style>
  <w:style w:type="paragraph" w:styleId="FootnoteText">
    <w:name w:val="footnote text"/>
    <w:basedOn w:val="Normal"/>
    <w:link w:val="FootnoteTextChar"/>
    <w:uiPriority w:val="99"/>
    <w:semiHidden/>
    <w:unhideWhenUsed/>
    <w:rsid w:val="00AB40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4005"/>
    <w:rPr>
      <w:sz w:val="20"/>
      <w:szCs w:val="20"/>
    </w:rPr>
  </w:style>
  <w:style w:type="character" w:styleId="FootnoteReference">
    <w:name w:val="footnote reference"/>
    <w:basedOn w:val="DefaultParagraphFont"/>
    <w:uiPriority w:val="99"/>
    <w:semiHidden/>
    <w:unhideWhenUsed/>
    <w:rsid w:val="00AB4005"/>
    <w:rPr>
      <w:vertAlign w:val="superscript"/>
    </w:rPr>
  </w:style>
  <w:style w:type="paragraph" w:styleId="EndnoteText">
    <w:name w:val="endnote text"/>
    <w:basedOn w:val="Normal"/>
    <w:link w:val="EndnoteTextChar"/>
    <w:uiPriority w:val="99"/>
    <w:semiHidden/>
    <w:unhideWhenUsed/>
    <w:rsid w:val="002D3A0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D3A07"/>
    <w:rPr>
      <w:sz w:val="20"/>
      <w:szCs w:val="20"/>
    </w:rPr>
  </w:style>
  <w:style w:type="character" w:styleId="EndnoteReference">
    <w:name w:val="endnote reference"/>
    <w:basedOn w:val="DefaultParagraphFont"/>
    <w:uiPriority w:val="99"/>
    <w:semiHidden/>
    <w:unhideWhenUsed/>
    <w:rsid w:val="002D3A07"/>
    <w:rPr>
      <w:vertAlign w:val="superscript"/>
    </w:rPr>
  </w:style>
  <w:style w:type="character" w:styleId="Hyperlink">
    <w:name w:val="Hyperlink"/>
    <w:basedOn w:val="DefaultParagraphFont"/>
    <w:uiPriority w:val="99"/>
    <w:unhideWhenUsed/>
    <w:rsid w:val="004D5224"/>
    <w:rPr>
      <w:color w:val="0000FF" w:themeColor="hyperlink"/>
      <w:u w:val="single"/>
    </w:rPr>
  </w:style>
  <w:style w:type="paragraph" w:styleId="BalloonText">
    <w:name w:val="Balloon Text"/>
    <w:basedOn w:val="Normal"/>
    <w:link w:val="BalloonTextChar"/>
    <w:uiPriority w:val="99"/>
    <w:semiHidden/>
    <w:unhideWhenUsed/>
    <w:rsid w:val="004605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05CC"/>
    <w:rPr>
      <w:rFonts w:ascii="Tahoma" w:hAnsi="Tahoma" w:cs="Tahoma"/>
      <w:sz w:val="16"/>
      <w:szCs w:val="16"/>
    </w:rPr>
  </w:style>
  <w:style w:type="paragraph" w:styleId="ListParagraph">
    <w:name w:val="List Paragraph"/>
    <w:basedOn w:val="Normal"/>
    <w:uiPriority w:val="34"/>
    <w:qFormat/>
    <w:rsid w:val="007B57B0"/>
    <w:pPr>
      <w:ind w:left="720"/>
      <w:contextualSpacing/>
    </w:pPr>
  </w:style>
  <w:style w:type="paragraph" w:styleId="Caption">
    <w:name w:val="caption"/>
    <w:basedOn w:val="Normal"/>
    <w:next w:val="Normal"/>
    <w:uiPriority w:val="35"/>
    <w:unhideWhenUsed/>
    <w:qFormat/>
    <w:rsid w:val="00FC57F4"/>
    <w:pPr>
      <w:spacing w:line="240" w:lineRule="auto"/>
    </w:pPr>
    <w:rPr>
      <w:b/>
      <w:bCs/>
      <w:color w:val="4F81BD" w:themeColor="accent1"/>
      <w:sz w:val="18"/>
      <w:szCs w:val="18"/>
    </w:rPr>
  </w:style>
  <w:style w:type="character" w:customStyle="1" w:styleId="Heading2Char">
    <w:name w:val="Heading 2 Char"/>
    <w:basedOn w:val="DefaultParagraphFont"/>
    <w:link w:val="Heading2"/>
    <w:uiPriority w:val="9"/>
    <w:rsid w:val="00A41250"/>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A41250"/>
    <w:rPr>
      <w:b/>
      <w:bCs/>
    </w:rPr>
  </w:style>
  <w:style w:type="character" w:styleId="IntenseEmphasis">
    <w:name w:val="Intense Emphasis"/>
    <w:basedOn w:val="DefaultParagraphFont"/>
    <w:uiPriority w:val="21"/>
    <w:qFormat/>
    <w:rsid w:val="00D36953"/>
    <w:rPr>
      <w:b/>
      <w:bCs/>
      <w:i/>
      <w:iCs/>
      <w:color w:val="4F81BD" w:themeColor="accent1"/>
    </w:rPr>
  </w:style>
  <w:style w:type="character" w:styleId="Emphasis">
    <w:name w:val="Emphasis"/>
    <w:basedOn w:val="DefaultParagraphFont"/>
    <w:uiPriority w:val="20"/>
    <w:qFormat/>
    <w:rsid w:val="00D36953"/>
    <w:rPr>
      <w:i/>
      <w:iCs/>
    </w:rPr>
  </w:style>
  <w:style w:type="paragraph" w:styleId="Title">
    <w:name w:val="Title"/>
    <w:basedOn w:val="Normal"/>
    <w:next w:val="Normal"/>
    <w:link w:val="TitleChar"/>
    <w:uiPriority w:val="10"/>
    <w:qFormat/>
    <w:rsid w:val="00D3695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36953"/>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D3695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36953"/>
    <w:pPr>
      <w:outlineLvl w:val="9"/>
    </w:pPr>
    <w:rPr>
      <w:lang w:eastAsia="ja-JP"/>
    </w:rPr>
  </w:style>
  <w:style w:type="paragraph" w:styleId="TOC1">
    <w:name w:val="toc 1"/>
    <w:basedOn w:val="Normal"/>
    <w:next w:val="Normal"/>
    <w:autoRedefine/>
    <w:uiPriority w:val="39"/>
    <w:unhideWhenUsed/>
    <w:qFormat/>
    <w:rsid w:val="00D36953"/>
    <w:pPr>
      <w:spacing w:after="100"/>
    </w:pPr>
  </w:style>
  <w:style w:type="paragraph" w:styleId="TOC2">
    <w:name w:val="toc 2"/>
    <w:basedOn w:val="Normal"/>
    <w:next w:val="Normal"/>
    <w:autoRedefine/>
    <w:uiPriority w:val="39"/>
    <w:unhideWhenUsed/>
    <w:qFormat/>
    <w:rsid w:val="00667089"/>
    <w:pPr>
      <w:spacing w:after="100"/>
      <w:ind w:left="220"/>
    </w:pPr>
  </w:style>
  <w:style w:type="paragraph" w:styleId="TableofFigures">
    <w:name w:val="table of figures"/>
    <w:basedOn w:val="Normal"/>
    <w:next w:val="Heading2"/>
    <w:uiPriority w:val="99"/>
    <w:unhideWhenUsed/>
    <w:rsid w:val="009F5793"/>
    <w:pPr>
      <w:spacing w:after="0"/>
    </w:pPr>
    <w:rPr>
      <w:sz w:val="24"/>
    </w:rPr>
  </w:style>
  <w:style w:type="character" w:customStyle="1" w:styleId="apple-converted-space">
    <w:name w:val="apple-converted-space"/>
    <w:basedOn w:val="DefaultParagraphFont"/>
    <w:rsid w:val="00407163"/>
  </w:style>
  <w:style w:type="character" w:styleId="HTMLCite">
    <w:name w:val="HTML Cite"/>
    <w:basedOn w:val="DefaultParagraphFont"/>
    <w:uiPriority w:val="99"/>
    <w:semiHidden/>
    <w:unhideWhenUsed/>
    <w:rsid w:val="00407163"/>
    <w:rPr>
      <w:i/>
      <w:iCs/>
    </w:rPr>
  </w:style>
  <w:style w:type="paragraph" w:styleId="TOC3">
    <w:name w:val="toc 3"/>
    <w:basedOn w:val="Normal"/>
    <w:next w:val="Normal"/>
    <w:autoRedefine/>
    <w:uiPriority w:val="39"/>
    <w:semiHidden/>
    <w:unhideWhenUsed/>
    <w:qFormat/>
    <w:rsid w:val="00DF37C1"/>
    <w:pPr>
      <w:spacing w:after="100"/>
      <w:ind w:left="440"/>
    </w:pPr>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024B"/>
  </w:style>
  <w:style w:type="paragraph" w:styleId="Heading1">
    <w:name w:val="heading 1"/>
    <w:basedOn w:val="Normal"/>
    <w:next w:val="Normal"/>
    <w:link w:val="Heading1Char"/>
    <w:uiPriority w:val="9"/>
    <w:qFormat/>
    <w:rsid w:val="00D3695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412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1A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1AAD"/>
  </w:style>
  <w:style w:type="paragraph" w:styleId="Footer">
    <w:name w:val="footer"/>
    <w:basedOn w:val="Normal"/>
    <w:link w:val="FooterChar"/>
    <w:uiPriority w:val="99"/>
    <w:unhideWhenUsed/>
    <w:rsid w:val="00311A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1AAD"/>
  </w:style>
  <w:style w:type="paragraph" w:styleId="FootnoteText">
    <w:name w:val="footnote text"/>
    <w:basedOn w:val="Normal"/>
    <w:link w:val="FootnoteTextChar"/>
    <w:uiPriority w:val="99"/>
    <w:semiHidden/>
    <w:unhideWhenUsed/>
    <w:rsid w:val="00AB40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4005"/>
    <w:rPr>
      <w:sz w:val="20"/>
      <w:szCs w:val="20"/>
    </w:rPr>
  </w:style>
  <w:style w:type="character" w:styleId="FootnoteReference">
    <w:name w:val="footnote reference"/>
    <w:basedOn w:val="DefaultParagraphFont"/>
    <w:uiPriority w:val="99"/>
    <w:semiHidden/>
    <w:unhideWhenUsed/>
    <w:rsid w:val="00AB4005"/>
    <w:rPr>
      <w:vertAlign w:val="superscript"/>
    </w:rPr>
  </w:style>
  <w:style w:type="paragraph" w:styleId="EndnoteText">
    <w:name w:val="endnote text"/>
    <w:basedOn w:val="Normal"/>
    <w:link w:val="EndnoteTextChar"/>
    <w:uiPriority w:val="99"/>
    <w:semiHidden/>
    <w:unhideWhenUsed/>
    <w:rsid w:val="002D3A0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D3A07"/>
    <w:rPr>
      <w:sz w:val="20"/>
      <w:szCs w:val="20"/>
    </w:rPr>
  </w:style>
  <w:style w:type="character" w:styleId="EndnoteReference">
    <w:name w:val="endnote reference"/>
    <w:basedOn w:val="DefaultParagraphFont"/>
    <w:uiPriority w:val="99"/>
    <w:semiHidden/>
    <w:unhideWhenUsed/>
    <w:rsid w:val="002D3A07"/>
    <w:rPr>
      <w:vertAlign w:val="superscript"/>
    </w:rPr>
  </w:style>
  <w:style w:type="character" w:styleId="Hyperlink">
    <w:name w:val="Hyperlink"/>
    <w:basedOn w:val="DefaultParagraphFont"/>
    <w:uiPriority w:val="99"/>
    <w:unhideWhenUsed/>
    <w:rsid w:val="004D5224"/>
    <w:rPr>
      <w:color w:val="0000FF" w:themeColor="hyperlink"/>
      <w:u w:val="single"/>
    </w:rPr>
  </w:style>
  <w:style w:type="paragraph" w:styleId="BalloonText">
    <w:name w:val="Balloon Text"/>
    <w:basedOn w:val="Normal"/>
    <w:link w:val="BalloonTextChar"/>
    <w:uiPriority w:val="99"/>
    <w:semiHidden/>
    <w:unhideWhenUsed/>
    <w:rsid w:val="004605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05CC"/>
    <w:rPr>
      <w:rFonts w:ascii="Tahoma" w:hAnsi="Tahoma" w:cs="Tahoma"/>
      <w:sz w:val="16"/>
      <w:szCs w:val="16"/>
    </w:rPr>
  </w:style>
  <w:style w:type="paragraph" w:styleId="ListParagraph">
    <w:name w:val="List Paragraph"/>
    <w:basedOn w:val="Normal"/>
    <w:uiPriority w:val="34"/>
    <w:qFormat/>
    <w:rsid w:val="007B57B0"/>
    <w:pPr>
      <w:ind w:left="720"/>
      <w:contextualSpacing/>
    </w:pPr>
  </w:style>
  <w:style w:type="paragraph" w:styleId="Caption">
    <w:name w:val="caption"/>
    <w:basedOn w:val="Normal"/>
    <w:next w:val="Normal"/>
    <w:uiPriority w:val="35"/>
    <w:unhideWhenUsed/>
    <w:qFormat/>
    <w:rsid w:val="00FC57F4"/>
    <w:pPr>
      <w:spacing w:line="240" w:lineRule="auto"/>
    </w:pPr>
    <w:rPr>
      <w:b/>
      <w:bCs/>
      <w:color w:val="4F81BD" w:themeColor="accent1"/>
      <w:sz w:val="18"/>
      <w:szCs w:val="18"/>
    </w:rPr>
  </w:style>
  <w:style w:type="character" w:customStyle="1" w:styleId="Heading2Char">
    <w:name w:val="Heading 2 Char"/>
    <w:basedOn w:val="DefaultParagraphFont"/>
    <w:link w:val="Heading2"/>
    <w:uiPriority w:val="9"/>
    <w:rsid w:val="00A41250"/>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A41250"/>
    <w:rPr>
      <w:b/>
      <w:bCs/>
    </w:rPr>
  </w:style>
  <w:style w:type="character" w:styleId="IntenseEmphasis">
    <w:name w:val="Intense Emphasis"/>
    <w:basedOn w:val="DefaultParagraphFont"/>
    <w:uiPriority w:val="21"/>
    <w:qFormat/>
    <w:rsid w:val="00D36953"/>
    <w:rPr>
      <w:b/>
      <w:bCs/>
      <w:i/>
      <w:iCs/>
      <w:color w:val="4F81BD" w:themeColor="accent1"/>
    </w:rPr>
  </w:style>
  <w:style w:type="character" w:styleId="Emphasis">
    <w:name w:val="Emphasis"/>
    <w:basedOn w:val="DefaultParagraphFont"/>
    <w:uiPriority w:val="20"/>
    <w:qFormat/>
    <w:rsid w:val="00D36953"/>
    <w:rPr>
      <w:i/>
      <w:iCs/>
    </w:rPr>
  </w:style>
  <w:style w:type="paragraph" w:styleId="Title">
    <w:name w:val="Title"/>
    <w:basedOn w:val="Normal"/>
    <w:next w:val="Normal"/>
    <w:link w:val="TitleChar"/>
    <w:uiPriority w:val="10"/>
    <w:qFormat/>
    <w:rsid w:val="00D3695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36953"/>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D3695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36953"/>
    <w:pPr>
      <w:outlineLvl w:val="9"/>
    </w:pPr>
    <w:rPr>
      <w:lang w:eastAsia="ja-JP"/>
    </w:rPr>
  </w:style>
  <w:style w:type="paragraph" w:styleId="TOC1">
    <w:name w:val="toc 1"/>
    <w:basedOn w:val="Normal"/>
    <w:next w:val="Normal"/>
    <w:autoRedefine/>
    <w:uiPriority w:val="39"/>
    <w:unhideWhenUsed/>
    <w:qFormat/>
    <w:rsid w:val="00D36953"/>
    <w:pPr>
      <w:spacing w:after="100"/>
    </w:pPr>
  </w:style>
  <w:style w:type="paragraph" w:styleId="TOC2">
    <w:name w:val="toc 2"/>
    <w:basedOn w:val="Normal"/>
    <w:next w:val="Normal"/>
    <w:autoRedefine/>
    <w:uiPriority w:val="39"/>
    <w:unhideWhenUsed/>
    <w:qFormat/>
    <w:rsid w:val="00667089"/>
    <w:pPr>
      <w:spacing w:after="100"/>
      <w:ind w:left="220"/>
    </w:pPr>
  </w:style>
  <w:style w:type="paragraph" w:styleId="TableofFigures">
    <w:name w:val="table of figures"/>
    <w:basedOn w:val="Normal"/>
    <w:next w:val="Heading2"/>
    <w:uiPriority w:val="99"/>
    <w:unhideWhenUsed/>
    <w:rsid w:val="009F5793"/>
    <w:pPr>
      <w:spacing w:after="0"/>
    </w:pPr>
    <w:rPr>
      <w:sz w:val="24"/>
    </w:rPr>
  </w:style>
  <w:style w:type="character" w:customStyle="1" w:styleId="apple-converted-space">
    <w:name w:val="apple-converted-space"/>
    <w:basedOn w:val="DefaultParagraphFont"/>
    <w:rsid w:val="00407163"/>
  </w:style>
  <w:style w:type="character" w:styleId="HTMLCite">
    <w:name w:val="HTML Cite"/>
    <w:basedOn w:val="DefaultParagraphFont"/>
    <w:uiPriority w:val="99"/>
    <w:semiHidden/>
    <w:unhideWhenUsed/>
    <w:rsid w:val="00407163"/>
    <w:rPr>
      <w:i/>
      <w:iCs/>
    </w:rPr>
  </w:style>
  <w:style w:type="paragraph" w:styleId="TOC3">
    <w:name w:val="toc 3"/>
    <w:basedOn w:val="Normal"/>
    <w:next w:val="Normal"/>
    <w:autoRedefine/>
    <w:uiPriority w:val="39"/>
    <w:semiHidden/>
    <w:unhideWhenUsed/>
    <w:qFormat/>
    <w:rsid w:val="00DF37C1"/>
    <w:pPr>
      <w:spacing w:after="100"/>
      <w:ind w:left="440"/>
    </w:pPr>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3657640">
      <w:bodyDiv w:val="1"/>
      <w:marLeft w:val="0"/>
      <w:marRight w:val="0"/>
      <w:marTop w:val="0"/>
      <w:marBottom w:val="0"/>
      <w:divBdr>
        <w:top w:val="none" w:sz="0" w:space="0" w:color="auto"/>
        <w:left w:val="none" w:sz="0" w:space="0" w:color="auto"/>
        <w:bottom w:val="none" w:sz="0" w:space="0" w:color="auto"/>
        <w:right w:val="none" w:sz="0" w:space="0" w:color="auto"/>
      </w:divBdr>
    </w:div>
    <w:div w:id="1688868643">
      <w:bodyDiv w:val="1"/>
      <w:marLeft w:val="0"/>
      <w:marRight w:val="0"/>
      <w:marTop w:val="0"/>
      <w:marBottom w:val="0"/>
      <w:divBdr>
        <w:top w:val="none" w:sz="0" w:space="0" w:color="auto"/>
        <w:left w:val="none" w:sz="0" w:space="0" w:color="auto"/>
        <w:bottom w:val="none" w:sz="0" w:space="0" w:color="auto"/>
        <w:right w:val="none" w:sz="0" w:space="0" w:color="auto"/>
      </w:divBdr>
    </w:div>
    <w:div w:id="207809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4.gif"/><Relationship Id="rId39" Type="http://schemas.openxmlformats.org/officeDocument/2006/relationships/image" Target="media/image23.jpe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8.png"/><Relationship Id="rId42" Type="http://schemas.openxmlformats.org/officeDocument/2006/relationships/hyperlink" Target="http://tennesseeencyclopedia.net/entry.php?rec=284" TargetMode="External"/><Relationship Id="rId47" Type="http://schemas.openxmlformats.org/officeDocument/2006/relationships/hyperlink" Target="http://digital.library.nashville.org/cdm/singleitem/collection/nr/id/6225/rec/86"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hyperlink" Target="https://www.loc.gov/item/77696328/" TargetMode="External"/><Relationship Id="rId2" Type="http://schemas.openxmlformats.org/officeDocument/2006/relationships/numbering" Target="numbering.xml"/><Relationship Id="rId16" Type="http://schemas.openxmlformats.org/officeDocument/2006/relationships/hyperlink" Target="https://www.loc.gov/item/2011590011/" TargetMode="External"/><Relationship Id="rId20" Type="http://schemas.openxmlformats.org/officeDocument/2006/relationships/image" Target="media/image9.png"/><Relationship Id="rId29" Type="http://schemas.openxmlformats.org/officeDocument/2006/relationships/hyperlink" Target="https://www.google.com/maps/place/Acropolis+of+Athens/@37.9715968,23.7254827,356m/data=!3m1!1e3!4m5!3m4!1s0x14a1bd1837f5acf3:0x5c97c042f5eb0df6!8m2!3d37.9715323!4d23.7257492" TargetMode="External"/><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24" Type="http://schemas.openxmlformats.org/officeDocument/2006/relationships/hyperlink" Target="https://www.loc.gov/item/77696328/" TargetMode="External"/><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hyperlink" Target="http://digital.library.nashville.org/cdm/singleitem/collection/nr/id/6225/rec/86" TargetMode="External"/><Relationship Id="rId45" Type="http://schemas.openxmlformats.org/officeDocument/2006/relationships/hyperlink" Target="https://www.google.com/maps/place/Acropolis+of+Athens/@37.9715968,23.7254827,356m/data=!3m1!1e3!4m5!3m4!1s0x14a1bd1837f5acf3:0x5c97c042f5eb0df6!8m2!3d37.9715323!4d23.7257492" TargetMode="Externa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2.jpg"/><Relationship Id="rId28" Type="http://schemas.openxmlformats.org/officeDocument/2006/relationships/hyperlink" Target="https://www.google.com/maps/place/Acropolis+of+Athens/@37.9715968,23.7254827,356m/data=!3m1!1e3!4m5!3m4!1s0x14a1bd1837f5acf3:0x5c97c042f5eb0df6!8m2!3d37.9715323!4d23.7257492" TargetMode="External"/><Relationship Id="rId36" Type="http://schemas.openxmlformats.org/officeDocument/2006/relationships/image" Target="media/image20.png"/><Relationship Id="rId49" Type="http://schemas.openxmlformats.org/officeDocument/2006/relationships/hyperlink" Target="http://www.librarycompany.org/artifacts/athens.htm" TargetMode="Externa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hyperlink" Target="http://plato-dialogues.org/tools/acropol.htm" TargetMode="External"/><Relationship Id="rId44" Type="http://schemas.openxmlformats.org/officeDocument/2006/relationships/hyperlink" Target="http://www.teachinghistory.org/history-content/ask-a-historian/14557"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hyperlink" Target="http://plato-dialogues.org/tools/acropol.htm" TargetMode="External"/><Relationship Id="rId35" Type="http://schemas.openxmlformats.org/officeDocument/2006/relationships/image" Target="media/image19.png"/><Relationship Id="rId43" Type="http://schemas.openxmlformats.org/officeDocument/2006/relationships/hyperlink" Target="https://www.loc.gov/item/2011590011/" TargetMode="External"/><Relationship Id="rId48" Type="http://schemas.openxmlformats.org/officeDocument/2006/relationships/hyperlink" Target="http://plato-dialogues.org/tools/acropol.htm" TargetMode="External"/><Relationship Id="rId8" Type="http://schemas.openxmlformats.org/officeDocument/2006/relationships/endnotes" Target="endnotes.xml"/><Relationship Id="rId51"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www.teachinghistory.org/history-content/ask-a-historian/14557" TargetMode="External"/><Relationship Id="rId2" Type="http://schemas.openxmlformats.org/officeDocument/2006/relationships/hyperlink" Target="http://www.librarycompany.org/artifacts/athens.htm" TargetMode="External"/><Relationship Id="rId1" Type="http://schemas.openxmlformats.org/officeDocument/2006/relationships/hyperlink" Target="http://tennesseeencyclopedia.net/entry.php?rec=284" TargetMode="External"/><Relationship Id="rId4" Type="http://schemas.openxmlformats.org/officeDocument/2006/relationships/hyperlink" Target="http://conservancyonline.com/abou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2BA"/>
    <w:rsid w:val="003472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8FFC6D53FB44760A7446FDE31607CD4">
    <w:name w:val="28FFC6D53FB44760A7446FDE31607CD4"/>
    <w:rsid w:val="003472BA"/>
  </w:style>
  <w:style w:type="paragraph" w:customStyle="1" w:styleId="2D3F4B5A6FEA423BBB6B94DE18A8E727">
    <w:name w:val="2D3F4B5A6FEA423BBB6B94DE18A8E727"/>
    <w:rsid w:val="003472BA"/>
  </w:style>
  <w:style w:type="paragraph" w:customStyle="1" w:styleId="E1707AA7219043BBA7DD747FDDFCAF25">
    <w:name w:val="E1707AA7219043BBA7DD747FDDFCAF25"/>
    <w:rsid w:val="003472B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8FFC6D53FB44760A7446FDE31607CD4">
    <w:name w:val="28FFC6D53FB44760A7446FDE31607CD4"/>
    <w:rsid w:val="003472BA"/>
  </w:style>
  <w:style w:type="paragraph" w:customStyle="1" w:styleId="2D3F4B5A6FEA423BBB6B94DE18A8E727">
    <w:name w:val="2D3F4B5A6FEA423BBB6B94DE18A8E727"/>
    <w:rsid w:val="003472BA"/>
  </w:style>
  <w:style w:type="paragraph" w:customStyle="1" w:styleId="E1707AA7219043BBA7DD747FDDFCAF25">
    <w:name w:val="E1707AA7219043BBA7DD747FDDFCAF25"/>
    <w:rsid w:val="003472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BEC1A75-4AB4-434E-8283-6A94B008E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62548</TotalTime>
  <Pages>105</Pages>
  <Words>19705</Words>
  <Characters>112325</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131767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Luke</dc:creator>
  <cp:lastModifiedBy>Luke</cp:lastModifiedBy>
  <cp:revision>528</cp:revision>
  <cp:lastPrinted>2016-12-05T03:52:00Z</cp:lastPrinted>
  <dcterms:created xsi:type="dcterms:W3CDTF">2016-08-07T02:30:00Z</dcterms:created>
  <dcterms:modified xsi:type="dcterms:W3CDTF">2016-12-05T03:56:00Z</dcterms:modified>
</cp:coreProperties>
</file>